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2DCB" w14:textId="77777777" w:rsidR="000B7763" w:rsidRDefault="001377C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D2DB7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11A9F9" w14:textId="6D9BC66F" w:rsidR="000B7763" w:rsidRDefault="00D07E7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Медицинский сценарий</w:t>
      </w:r>
      <w:r w:rsidR="000D3614">
        <w:rPr>
          <w:rFonts w:ascii="inter" w:eastAsia="inter" w:hAnsi="inter" w:cs="inter"/>
          <w:b/>
          <w:color w:val="000000"/>
          <w:sz w:val="24"/>
        </w:rPr>
        <w:t xml:space="preserve"> 4</w:t>
      </w:r>
      <w:r>
        <w:rPr>
          <w:rFonts w:ascii="inter" w:eastAsia="inter" w:hAnsi="inter" w:cs="inter"/>
          <w:b/>
          <w:color w:val="000000"/>
          <w:sz w:val="24"/>
        </w:rPr>
        <w:t>: Резистентная артериальная гипертензия у коморбидного пациента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5"/>
        <w:gridCol w:w="7579"/>
      </w:tblGrid>
      <w:tr w:rsidR="0047772A" w14:paraId="735C23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29E82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77AE0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47772A" w14:paraId="2D58D4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5013F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DA7BB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68 лет, на плановом амбулаторном приёме у врача-кардиолога.</w:t>
            </w:r>
          </w:p>
          <w:p w14:paraId="3CA85C3E" w14:textId="77777777" w:rsidR="000B7763" w:rsidRDefault="000B7763"/>
          <w:p w14:paraId="21E78FEA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дифференциальную диагностику причин неконтролируемой артериальной гипертензии, оценить сердечно-сосудистый риск, сформулировать окончательный диагноз и назначить патогенетически обоснованную терапию.</w:t>
            </w:r>
          </w:p>
          <w:p w14:paraId="4B88D23C" w14:textId="77777777" w:rsidR="000B7763" w:rsidRDefault="000B7763"/>
          <w:p w14:paraId="5AF6138C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«Артериальная гипертензия у взрослых» 2024 года, предоставленные в приложенном файле </w:t>
            </w:r>
            <w:hyperlink w:anchor="fn1">
              <w:r w:rsidR="000B7763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7772A" w14:paraId="5A9030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18969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9155AA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стабильно высокие цифры артериального давления (АД) по данным домашнего мониторинга (до 175/100 мм рт. ст.), несмотря на прием трехкомпонентной антигипертензивной терапии. Отмечает одышку при умеренной физической нагрузке (подъем на 2-й этаж), периодические давящие головные боли в затылочной области, не требующие приема анальгетиков.</w:t>
            </w:r>
          </w:p>
        </w:tc>
      </w:tr>
      <w:tr w:rsidR="0047772A" w14:paraId="117F3F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DAA7E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2A421" w14:textId="7DAD24A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Артериальная гипертензия (АГ) в течение 15 лет с максимальным АД до 190/110 мм рт. ст. В течение последних 6 месяцев отмечает ухудшение контроля АД, несмотря на регулярный прием терапии: лизиноприл 20 мг/сут, амлодипин 10 мг/сут, гидрохлоротиазид 25 мг/сут. </w:t>
            </w:r>
          </w:p>
        </w:tc>
      </w:tr>
      <w:tr w:rsidR="0047772A" w14:paraId="01977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9B1F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C5FE3" w14:textId="670C8994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Сахарный диабет 2-го типа в течение 10 лет, принимает метформин 1000 мг дважды в день. Курил в течение 30 лет по одной пачке в день, бросил 5 лет назад. Наследственность отягощена: отец умер от ИМ в возрасте 58 лет. Работает бухгалтером, образ жизни малоподвижный. Аллергологический анамнез не отягощен.</w:t>
            </w:r>
          </w:p>
        </w:tc>
      </w:tr>
      <w:tr w:rsidR="0047772A" w14:paraId="620FF9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1E144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012C42" w14:textId="6706DC56" w:rsidR="000B7763" w:rsidRDefault="00D07E79" w:rsidP="00CF47E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Сознание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Вес: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95 кг,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рост: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175 см,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31 кг/м² (ожирение I степени).</w:t>
            </w:r>
          </w:p>
          <w:p w14:paraId="1E12ECE1" w14:textId="0D3FCCD3" w:rsidR="000B7763" w:rsidRDefault="00D07E79" w:rsidP="00CF47E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окраски. Отеков нет.</w:t>
            </w:r>
          </w:p>
          <w:p w14:paraId="09C86530" w14:textId="63A17E9C" w:rsidR="000B7763" w:rsidRDefault="00D07E79" w:rsidP="00CF47E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минуту.</w:t>
            </w:r>
          </w:p>
          <w:p w14:paraId="67DE9BE8" w14:textId="32230032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АД на правой руке 170/98 мм рт. ст., на левой – 168/100 мм рт. ст. ЧСС 72 уд/мин, ритм правильный. Границы сердца расширены влево. Тоны сердца приглушены, акцент II тона над аортой</w:t>
            </w:r>
            <w:r w:rsidR="00CF47E1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</w:p>
        </w:tc>
      </w:tr>
      <w:tr w:rsidR="0047772A" w14:paraId="50C0EC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D1ADB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C0964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Какой наиболее вероятный предварительный диагноз?</w:t>
            </w:r>
          </w:p>
          <w:p w14:paraId="2FE12642" w14:textId="77777777" w:rsidR="000B7763" w:rsidRDefault="000B7763"/>
          <w:p w14:paraId="6B857F26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2B13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Резистентная артериальная гипертензия.</w:t>
            </w:r>
          </w:p>
          <w:p w14:paraId="7B6BD873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3.6.11, стр. 67. Комментарий: Диагноз устанавливается, когда оптимальные дозы трех и более препаратов, включая диуретик, не приводят к достижению целевого АД, что соответствует клинической картине пациента.</w:t>
            </w:r>
          </w:p>
          <w:p w14:paraId="735BB986" w14:textId="77777777" w:rsidR="000B7763" w:rsidRDefault="000B7763"/>
          <w:p w14:paraId="20E92C5D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2B13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Псевдорезистентная артериальная гипертензия.</w:t>
            </w:r>
          </w:p>
          <w:p w14:paraId="2C57A7CE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3.6.11, стр. 68. Комментарий: Псевдорезистентность (например, из-за "эффекта белого халата" или низкой приверженности) необходимо исключить, однако у пациента с длительно неконтролируемым АД на максимальных дозах препаратов и признаками поражения органов-мишеней более вероятна истинная резистентность.</w:t>
            </w:r>
          </w:p>
          <w:p w14:paraId="39CD5045" w14:textId="77777777" w:rsidR="000B7763" w:rsidRDefault="000B7763"/>
          <w:p w14:paraId="148D3705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2B13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Вторичная АГ (феохромоцитома).</w:t>
            </w:r>
          </w:p>
          <w:p w14:paraId="08846707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таблица П5, стр. 170-171. Комментарий: Отсутствуют характерные для феохромоцитомы симптомы (пароксизмальная АГ, потливость, тахикардия, бледность).</w:t>
            </w:r>
          </w:p>
          <w:p w14:paraId="5A713176" w14:textId="77777777" w:rsidR="000B7763" w:rsidRDefault="000B7763"/>
          <w:p w14:paraId="4383655E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2B13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Гипертонический криз.</w:t>
            </w:r>
          </w:p>
          <w:p w14:paraId="22D4976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1.1, стр. 13. Комментарий: Несмотря на высокие цифры АД, отсутствуют признаки острого, жизнеугрожающего поражения органов-мишеней, характерные для гипертонического криза.</w:t>
            </w:r>
          </w:p>
        </w:tc>
      </w:tr>
      <w:tr w:rsidR="0047772A" w14:paraId="09D560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FCA84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78EE97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из перечисленных исследований целесообразно назначить в первую очередь для уточнения диагноза и тактики?</w:t>
            </w:r>
          </w:p>
          <w:p w14:paraId="2265D905" w14:textId="77777777" w:rsidR="000B7763" w:rsidRDefault="000B7763"/>
          <w:p w14:paraId="38435734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Определение соотношения альдостерон/ренин в плазме.</w:t>
            </w:r>
          </w:p>
          <w:p w14:paraId="0A753D30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таблица П5, стр. 171. Комментарий: Данное исследование является ключевым для исключения первичного гиперальдостеронизма – одной из частых причин резистентной АГ.</w:t>
            </w:r>
          </w:p>
          <w:p w14:paraId="4EB8FF00" w14:textId="77777777" w:rsidR="000B7763" w:rsidRDefault="000B7763"/>
          <w:p w14:paraId="2A1B956B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Гликированный гемоглобин (HbA1c).</w:t>
            </w:r>
          </w:p>
          <w:p w14:paraId="7F3FEB5B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2.7, стр. 31. Комментарий: Необходимо для оценки адекватности контроля сахарного диабета, который является значимым фактором сердечно-сосудистого риска.</w:t>
            </w:r>
          </w:p>
          <w:p w14:paraId="5234F8D2" w14:textId="77777777" w:rsidR="000B7763" w:rsidRDefault="000B7763"/>
          <w:p w14:paraId="553A666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Тиреотропный гормон (ТТГ).</w:t>
            </w:r>
          </w:p>
          <w:p w14:paraId="3C768C2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таблица П6, стр. 171. Комментарий: Хотя заболевания щитовидной железы могут вызывать АГ, у пациента отсутствуют клинические признаки тиреотоксикоза или гипотиреоза, что делает это исследование не первоочередным.</w:t>
            </w:r>
          </w:p>
          <w:p w14:paraId="2AEA8F41" w14:textId="77777777" w:rsidR="000B7763" w:rsidRDefault="000B7763"/>
          <w:p w14:paraId="03866C1C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Натрийуретический пептид (NT-proBNP).</w:t>
            </w:r>
          </w:p>
          <w:p w14:paraId="56EE2A30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3.6.4, стр. 60. Комментарий: Данный маркер используется для диагностики и оценки прогноза сердечной недостаточности, но не является первоочередным тестом для диагностики причин резистентной АГ.</w:t>
            </w:r>
          </w:p>
        </w:tc>
      </w:tr>
      <w:tr w:rsidR="0047772A" w14:paraId="434519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9ADBE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B4AF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провести для подтверждения резистентности и исключения вторичных причин АГ?</w:t>
            </w:r>
          </w:p>
          <w:p w14:paraId="73A77949" w14:textId="77777777" w:rsidR="000B7763" w:rsidRDefault="000B7763"/>
          <w:p w14:paraId="7AE4CF04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Суточное мониторирование АД (СМАД).</w:t>
            </w:r>
          </w:p>
          <w:p w14:paraId="36E6C31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3.6.11, стр. 68. Комментарий: СМАД является обязательным методом для подтверждения истинной резистентной АГ и исключения «эффекта белого халата».</w:t>
            </w:r>
          </w:p>
          <w:p w14:paraId="4DD62B55" w14:textId="77777777" w:rsidR="000B7763" w:rsidRDefault="000B7763"/>
          <w:p w14:paraId="2C4932A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УЗИ почек с допплерографией почечных артерий.</w:t>
            </w:r>
          </w:p>
          <w:p w14:paraId="0F28CAD2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2.8, стр. 35. Комментарий: Исследование необходимо для исключения реноваскулярной гипертензии (стеноза почечных артерий) как возможной причины резистентности.</w:t>
            </w:r>
          </w:p>
          <w:p w14:paraId="2AF99CD4" w14:textId="77777777" w:rsidR="000B7763" w:rsidRDefault="000B7763"/>
          <w:p w14:paraId="45022FE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Компьютерная томография надпочечников с контрастированием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7FF3B3C9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таблица П5, стр. 171. Комментарий: Данное исследование назначается при подозрении на феохромоцитому или альдостерому, но только после получения биохимических подтверждений (например, повышенного уровня метанефринов или альдостерон-ренинового соотношения).</w:t>
            </w:r>
          </w:p>
        </w:tc>
      </w:tr>
      <w:tr w:rsidR="0047772A" w14:paraId="7433C3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400F5" w14:textId="10FDD7CD" w:rsidR="000B7763" w:rsidRDefault="00CF47E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</w:t>
            </w:r>
            <w:r w:rsidR="00D07E79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D07E79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058B85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исследований:</w:t>
            </w:r>
          </w:p>
          <w:p w14:paraId="09C66954" w14:textId="77777777" w:rsidR="000B7763" w:rsidRDefault="000B7763"/>
          <w:p w14:paraId="1BC3603C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314F916C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патологии.</w:t>
            </w:r>
          </w:p>
          <w:p w14:paraId="548ABBD8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– 130 мкмоль/л, СКФ (CKD-EPI) – 55 мл/мин/1.73 м², калий – 4.2 ммоль/л, глюкоза – 8.1 ммоль/л, HbA1c – 7.8%.</w:t>
            </w:r>
          </w:p>
          <w:p w14:paraId="69551E9D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ОХС – 5.5 ммоль/л, ЛПНП – 3.2 ммоль/л, ТГ – 2.1 ммоль/л.</w:t>
            </w:r>
          </w:p>
          <w:p w14:paraId="0184626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Анализ мочи: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соотношение альбумин/креатинин – 50 мг/г.</w:t>
            </w:r>
          </w:p>
          <w:p w14:paraId="4EBEC195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Альдостерон-рениновое соотношение: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пределах нормы.</w:t>
            </w:r>
          </w:p>
          <w:p w14:paraId="071560A1" w14:textId="77777777" w:rsidR="000B7763" w:rsidRDefault="000B7763"/>
          <w:p w14:paraId="5A28A3DA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30E5AE70" w14:textId="14921B08" w:rsidR="0047772A" w:rsidRPr="0047772A" w:rsidRDefault="00D07E79" w:rsidP="0047772A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47772A" w:rsidRPr="0047772A">
              <w:rPr>
                <w:rFonts w:ascii="inter" w:eastAsia="inter" w:hAnsi="inter" w:cs="inter"/>
                <w:color w:val="000000"/>
                <w:sz w:val="17"/>
              </w:rPr>
              <w:t>Синусовый ритм, частота 71/мин</w:t>
            </w:r>
            <w:r w:rsidR="0047772A">
              <w:rPr>
                <w:rFonts w:ascii="inter" w:eastAsia="inter" w:hAnsi="inter" w:cs="inter"/>
                <w:color w:val="000000"/>
                <w:sz w:val="17"/>
              </w:rPr>
              <w:t>. Признаки гипертрофии левого желудочка (в</w:t>
            </w:r>
            <w:r w:rsidR="0047772A" w:rsidRPr="0047772A">
              <w:rPr>
                <w:rFonts w:ascii="inter" w:eastAsia="inter" w:hAnsi="inter" w:cs="inter"/>
                <w:color w:val="000000"/>
                <w:sz w:val="17"/>
              </w:rPr>
              <w:t>ысокие зубцы R и глубокие зубцы S в грудных отведениях</w:t>
            </w:r>
            <w:r w:rsidR="0047772A">
              <w:rPr>
                <w:rFonts w:ascii="inter" w:eastAsia="inter" w:hAnsi="inter" w:cs="inter"/>
                <w:color w:val="000000"/>
                <w:sz w:val="17"/>
              </w:rPr>
              <w:t>, д</w:t>
            </w:r>
            <w:r w:rsidR="0047772A" w:rsidRPr="0047772A">
              <w:rPr>
                <w:rFonts w:ascii="inter" w:eastAsia="inter" w:hAnsi="inter" w:cs="inter"/>
                <w:color w:val="000000"/>
                <w:sz w:val="17"/>
              </w:rPr>
              <w:t>епрессия сегмента ST в отведениях V4–V6</w:t>
            </w:r>
            <w:r w:rsidR="0047772A">
              <w:rPr>
                <w:rFonts w:ascii="inter" w:eastAsia="inter" w:hAnsi="inter" w:cs="inter"/>
                <w:color w:val="000000"/>
                <w:sz w:val="17"/>
              </w:rPr>
              <w:t>, о</w:t>
            </w:r>
            <w:r w:rsidR="0047772A" w:rsidRPr="0047772A">
              <w:rPr>
                <w:rFonts w:ascii="inter" w:eastAsia="inter" w:hAnsi="inter" w:cs="inter"/>
                <w:color w:val="000000"/>
                <w:sz w:val="17"/>
              </w:rPr>
              <w:t>трицательные зубцы T в отведениях I, II, VL, V3–V6</w:t>
            </w:r>
            <w:r w:rsidR="0047772A">
              <w:rPr>
                <w:rFonts w:ascii="inter" w:eastAsia="inter" w:hAnsi="inter" w:cs="inter"/>
                <w:color w:val="000000"/>
                <w:sz w:val="17"/>
              </w:rPr>
              <w:t>.</w:t>
            </w:r>
            <w:r w:rsidR="0047772A" w:rsidRPr="0047772A">
              <w:rPr>
                <w:noProof/>
              </w:rPr>
              <w:drawing>
                <wp:inline distT="0" distB="0" distL="0" distR="0" wp14:anchorId="3F8220BF" wp14:editId="54DA6D20">
                  <wp:extent cx="4587779" cy="2362875"/>
                  <wp:effectExtent l="0" t="0" r="0" b="0"/>
                  <wp:docPr id="7121600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1600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502" cy="238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D465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Среднесуточное АД 165/94 мм рт. ст. Недостаточное снижение АД в ночные часы (non-dipper).</w:t>
            </w:r>
          </w:p>
          <w:p w14:paraId="090F5BD5" w14:textId="6DB02AAB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Концентрическая гипертрофия ЛЖ (индекс массы миокарда ЛЖ 125 г/м²). ФВ ЛЖ – </w:t>
            </w:r>
            <w:r w:rsidR="00CF47E1">
              <w:rPr>
                <w:rFonts w:ascii="inter" w:eastAsia="inter" w:hAnsi="inter" w:cs="inter"/>
                <w:color w:val="000000"/>
                <w:sz w:val="17"/>
              </w:rPr>
              <w:t>47</w:t>
            </w:r>
            <w:r>
              <w:rPr>
                <w:rFonts w:ascii="inter" w:eastAsia="inter" w:hAnsi="inter" w:cs="inter"/>
                <w:color w:val="000000"/>
                <w:sz w:val="17"/>
              </w:rPr>
              <w:t>%. Диастолическая дисфункция II типа.</w:t>
            </w:r>
          </w:p>
          <w:p w14:paraId="2D42BC04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УЗИ почечных артерий: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Гемодинамически значимых стенозов не выявлено.</w:t>
            </w:r>
          </w:p>
        </w:tc>
      </w:tr>
      <w:tr w:rsidR="0047772A" w14:paraId="3E3DE2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AEA2A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25EF33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наиболее полный и точный диагноз.</w:t>
            </w:r>
          </w:p>
          <w:p w14:paraId="7D565C3B" w14:textId="77777777" w:rsidR="000B7763" w:rsidRDefault="000B7763"/>
          <w:p w14:paraId="751D2D87" w14:textId="1A61D54A" w:rsidR="000B7763" w:rsidRPr="0089238E" w:rsidRDefault="00D07E79">
            <w:pPr>
              <w:spacing w:line="360" w:lineRule="auto"/>
              <w:rPr>
                <w:b/>
                <w:bCs/>
              </w:rPr>
            </w:pPr>
            <w:r w:rsidRPr="0047772A"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 w:rsidRPr="0047772A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7772A">
              <w:br/>
            </w:r>
            <w:r w:rsidRPr="0047772A">
              <w:rPr>
                <w:rFonts w:ascii="inter" w:eastAsia="inter" w:hAnsi="inter" w:cs="inter"/>
                <w:b/>
                <w:bCs/>
                <w:i/>
                <w:sz w:val="17"/>
              </w:rPr>
              <w:t xml:space="preserve">Гипертоническая болезнь </w:t>
            </w:r>
            <w:r w:rsidRPr="004777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III стадии. Артериальная гипертензия 3 степени, неконтролируемая, резистентная. Риск сердечно-сосудистых осложнений 4 (очень высокий).</w:t>
            </w:r>
            <w:r w:rsidR="00CF47E1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r w:rsidRPr="004777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Хроническая сердечная недостаточность с умеренно сниженной фракцией выброса, II ФК.</w:t>
            </w:r>
            <w:r w:rsidR="0089396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r w:rsidRPr="004777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Сахарный диабет 2 типа, целевой HbA1c &lt;7.5%.</w:t>
            </w:r>
            <w:r w:rsidR="00CF47E1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r w:rsidRPr="004777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Хроническая болезнь почек С3аА2 (СКФ 55 мл/мин/1.73 м²).</w:t>
            </w:r>
            <w:r w:rsidR="00CF47E1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r w:rsidRPr="004777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Дислипидемия.</w:t>
            </w:r>
          </w:p>
          <w:p w14:paraId="7B689C09" w14:textId="14569EBA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1.5, стр. 18-21; раздел 2.2, стр. 25. Комментарий: Диагноз полностью отражает стадию (III, так как есть ХБП), степень АГ, очень высокий риск, все поражения органов-мишеней и ассоциированные клинические состояния.</w:t>
            </w:r>
          </w:p>
          <w:p w14:paraId="7736F92E" w14:textId="77777777" w:rsidR="000B7763" w:rsidRDefault="000B7763"/>
          <w:p w14:paraId="130259EB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Гипертоническая болезнь II стадии. Риск 4 (очень высокий).</w:t>
            </w:r>
          </w:p>
          <w:p w14:paraId="5C4037C1" w14:textId="5A140A47" w:rsidR="000B7763" w:rsidRDefault="00D07E79" w:rsidP="00CF47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Артериальная гипертензия у взрослых, 2024, раздел 1.5, стр. 21. </w:t>
            </w:r>
          </w:p>
          <w:p w14:paraId="26A7C779" w14:textId="77777777" w:rsidR="000B7763" w:rsidRDefault="000B7763"/>
          <w:p w14:paraId="0D9C371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Реноваскулярная гипертензия.</w:t>
            </w:r>
          </w:p>
          <w:p w14:paraId="3CF92CF1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1.4, стр. 18; таблица П5, стр. 171. Комментарий: Данный диагноз был исключен по результатам УЗИ почечных артерий.</w:t>
            </w:r>
          </w:p>
        </w:tc>
      </w:tr>
      <w:tr w:rsidR="0047772A" w14:paraId="4628A1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43300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F583C2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оптимальные шаги по коррекции терапии.</w:t>
            </w:r>
          </w:p>
          <w:p w14:paraId="41CC6D83" w14:textId="77777777" w:rsidR="000B7763" w:rsidRDefault="000B7763"/>
          <w:p w14:paraId="5A9211BB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CF47E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Добавить к терапии спиронолактон в дозе 25 мг/сут.</w:t>
            </w:r>
          </w:p>
          <w:p w14:paraId="30BF164A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приложение Б6, стр. 205. Комментарий: При резистентной АГ, когда пациент уже получает комбинацию иРААС+АК+диуретик, следующим шагом является добавление антагониста минералокортикоидных рецепторов.</w:t>
            </w:r>
          </w:p>
          <w:p w14:paraId="2DC6E92E" w14:textId="77777777" w:rsidR="000B7763" w:rsidRDefault="000B7763"/>
          <w:p w14:paraId="42EC4A73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Рассмотреть замену гидрохлоротиазида на хлорталидон 25 мг или индапамид 1.5 мг.</w:t>
            </w:r>
          </w:p>
          <w:p w14:paraId="7DF0F537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3.4.2, стр. 48. Комментарий: Тиазидоподобные диуретики обладают более мощным и длительным действием и сохраняют эффективность при снижении СКФ, что предпочтительно у данного пациента с ХБП С3а.</w:t>
            </w:r>
          </w:p>
          <w:p w14:paraId="1FFC3E36" w14:textId="77777777" w:rsidR="000B7763" w:rsidRDefault="000B7763"/>
          <w:p w14:paraId="2AEB616E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Добавить к терапии бисопролол 5 мг/сут.</w:t>
            </w:r>
          </w:p>
          <w:p w14:paraId="23057B33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приложение Б6, стр. 205. Комментарий: Хотя бета-блокаторы показаны после ИМ, у пациента уже достигнута целевая ЧСС. В схеме лечения резистентной АГ они не являются препаратом четвертой линии выбора и уступают спиронолактону.</w:t>
            </w:r>
          </w:p>
          <w:p w14:paraId="24541CE2" w14:textId="77777777" w:rsidR="000B7763" w:rsidRDefault="000B7763"/>
          <w:p w14:paraId="49E4DD4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Увеличить дозу лизиноприла до 40 мг/сут.</w:t>
            </w:r>
          </w:p>
          <w:p w14:paraId="6C0991BB" w14:textId="52C493D5" w:rsidR="00E974E7" w:rsidRPr="000C6B2F" w:rsidRDefault="00D07E79" w:rsidP="000C6B2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3.4.1, стр. 43-44. Комментарий: Пациент уже получает терапию тремя препаратами в оптимальных дозах. Добавление четвертого препарата с иным механизмом действия (спиронолактон) является более эффективной стратегией, чем дальнейшее повышение дозы одного из компонентов.</w:t>
            </w:r>
          </w:p>
        </w:tc>
      </w:tr>
      <w:tr w:rsidR="0047772A" w14:paraId="53584E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51543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D7D9C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Какова дальнейшая тактика ведения пациента?</w:t>
            </w:r>
          </w:p>
          <w:p w14:paraId="50E8B472" w14:textId="77777777" w:rsidR="000B7763" w:rsidRDefault="000B7763"/>
          <w:p w14:paraId="0A5F4D0A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Контрольный визит через 2-4 недели для оценки АД, уровня калия и креатинина в крови.</w:t>
            </w:r>
          </w:p>
          <w:p w14:paraId="051B210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3.6.2, стр. 56. Комментарий: После назначения спиронолактона, особенно у пациента с СД и ХБП, необходим строгий и частый контроль для своевременного выявления гиперкалиемии и ухудшения функции почек.</w:t>
            </w:r>
          </w:p>
          <w:p w14:paraId="7CCE92FB" w14:textId="77777777" w:rsidR="000B7763" w:rsidRDefault="000B7763"/>
          <w:p w14:paraId="1BE9A30B" w14:textId="77777777" w:rsidR="000B7763" w:rsidRPr="0089238E" w:rsidRDefault="00D07E79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Рекомендовать пациенту продолжить ведение дневника домашнего мониторинга АД (ДМАД).</w:t>
            </w:r>
          </w:p>
          <w:p w14:paraId="6D209A36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2.1, стр. 23. Комментарий: ДМАД является ключевым инструментом для оценки эффективности измененной терапии и приверженности пациента лечению.</w:t>
            </w:r>
          </w:p>
          <w:p w14:paraId="16C8F2D2" w14:textId="77777777" w:rsidR="000B7763" w:rsidRDefault="000B7763"/>
          <w:p w14:paraId="361816AA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47772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238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Плановый осмотр через 6 месяцев.</w:t>
            </w:r>
          </w:p>
          <w:p w14:paraId="552A5052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Артериальная гипертензия у взрослых, 2024, раздел 7.1, стр. 107. Комментарий: Для пациента с очень высоким риском и резистентной АГ после смены терапии такой длительный интервал является недопустимым и не обеспечивает должной безопасности.</w:t>
            </w:r>
          </w:p>
        </w:tc>
      </w:tr>
      <w:tr w:rsidR="0047772A" w14:paraId="15A72E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68ADC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CA0824" w14:textId="77777777" w:rsidR="000B7763" w:rsidRDefault="00D07E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«Артериальная гипертензия у взрослых». 2024 г. Российское кардиологическое общество (РКО) </w:t>
            </w:r>
            <w:hyperlink w:anchor="fn1">
              <w:r w:rsidR="000B7763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49AC4A1C" w14:textId="77777777" w:rsidR="000B7763" w:rsidRDefault="000B7763"/>
    <w:p w14:paraId="0027C275" w14:textId="2223474B" w:rsidR="000B7763" w:rsidRDefault="000B7763" w:rsidP="001B478A">
      <w:pPr>
        <w:spacing w:line="360" w:lineRule="auto"/>
        <w:jc w:val="center"/>
      </w:pPr>
    </w:p>
    <w:sectPr w:rsidR="000B776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75A9"/>
    <w:multiLevelType w:val="hybridMultilevel"/>
    <w:tmpl w:val="4E462244"/>
    <w:lvl w:ilvl="0" w:tplc="D72ADE3A">
      <w:numFmt w:val="decimal"/>
      <w:lvlText w:val=""/>
      <w:lvlJc w:val="left"/>
    </w:lvl>
    <w:lvl w:ilvl="1" w:tplc="E9CCECC6">
      <w:numFmt w:val="decimal"/>
      <w:lvlText w:val=""/>
      <w:lvlJc w:val="left"/>
    </w:lvl>
    <w:lvl w:ilvl="2" w:tplc="2B6C2190">
      <w:numFmt w:val="decimal"/>
      <w:lvlText w:val=""/>
      <w:lvlJc w:val="left"/>
    </w:lvl>
    <w:lvl w:ilvl="3" w:tplc="E5847AC8">
      <w:numFmt w:val="decimal"/>
      <w:lvlText w:val=""/>
      <w:lvlJc w:val="left"/>
    </w:lvl>
    <w:lvl w:ilvl="4" w:tplc="E2846BC8">
      <w:numFmt w:val="decimal"/>
      <w:lvlText w:val=""/>
      <w:lvlJc w:val="left"/>
    </w:lvl>
    <w:lvl w:ilvl="5" w:tplc="3BC8E774">
      <w:numFmt w:val="decimal"/>
      <w:lvlText w:val=""/>
      <w:lvlJc w:val="left"/>
    </w:lvl>
    <w:lvl w:ilvl="6" w:tplc="D8E67226">
      <w:numFmt w:val="decimal"/>
      <w:lvlText w:val=""/>
      <w:lvlJc w:val="left"/>
    </w:lvl>
    <w:lvl w:ilvl="7" w:tplc="918E879A">
      <w:numFmt w:val="decimal"/>
      <w:lvlText w:val=""/>
      <w:lvlJc w:val="left"/>
    </w:lvl>
    <w:lvl w:ilvl="8" w:tplc="82380ADE">
      <w:numFmt w:val="decimal"/>
      <w:lvlText w:val=""/>
      <w:lvlJc w:val="left"/>
    </w:lvl>
  </w:abstractNum>
  <w:abstractNum w:abstractNumId="1" w15:restartNumberingAfterBreak="0">
    <w:nsid w:val="36517039"/>
    <w:multiLevelType w:val="hybridMultilevel"/>
    <w:tmpl w:val="1D523A7A"/>
    <w:lvl w:ilvl="0" w:tplc="E0DCE7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A2ED9A">
      <w:numFmt w:val="decimal"/>
      <w:lvlText w:val=""/>
      <w:lvlJc w:val="left"/>
    </w:lvl>
    <w:lvl w:ilvl="2" w:tplc="DE308614">
      <w:numFmt w:val="decimal"/>
      <w:lvlText w:val=""/>
      <w:lvlJc w:val="left"/>
    </w:lvl>
    <w:lvl w:ilvl="3" w:tplc="444804E8">
      <w:numFmt w:val="decimal"/>
      <w:lvlText w:val=""/>
      <w:lvlJc w:val="left"/>
    </w:lvl>
    <w:lvl w:ilvl="4" w:tplc="87728E16">
      <w:numFmt w:val="decimal"/>
      <w:lvlText w:val=""/>
      <w:lvlJc w:val="left"/>
    </w:lvl>
    <w:lvl w:ilvl="5" w:tplc="47A4BB4C">
      <w:numFmt w:val="decimal"/>
      <w:lvlText w:val=""/>
      <w:lvlJc w:val="left"/>
    </w:lvl>
    <w:lvl w:ilvl="6" w:tplc="D27A1D78">
      <w:numFmt w:val="decimal"/>
      <w:lvlText w:val=""/>
      <w:lvlJc w:val="left"/>
    </w:lvl>
    <w:lvl w:ilvl="7" w:tplc="CC1860AE">
      <w:numFmt w:val="decimal"/>
      <w:lvlText w:val=""/>
      <w:lvlJc w:val="left"/>
    </w:lvl>
    <w:lvl w:ilvl="8" w:tplc="8CA65348">
      <w:numFmt w:val="decimal"/>
      <w:lvlText w:val=""/>
      <w:lvlJc w:val="left"/>
    </w:lvl>
  </w:abstractNum>
  <w:num w:numId="1" w16cid:durableId="399208925">
    <w:abstractNumId w:val="0"/>
  </w:num>
  <w:num w:numId="2" w16cid:durableId="19602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763"/>
    <w:rsid w:val="000B7763"/>
    <w:rsid w:val="000C6B2F"/>
    <w:rsid w:val="000D3614"/>
    <w:rsid w:val="001377C9"/>
    <w:rsid w:val="00151D5C"/>
    <w:rsid w:val="00167D76"/>
    <w:rsid w:val="001B478A"/>
    <w:rsid w:val="001D70FA"/>
    <w:rsid w:val="002B1331"/>
    <w:rsid w:val="00332365"/>
    <w:rsid w:val="0047772A"/>
    <w:rsid w:val="005E2C9D"/>
    <w:rsid w:val="0089238E"/>
    <w:rsid w:val="0089396F"/>
    <w:rsid w:val="009C3990"/>
    <w:rsid w:val="00CC2857"/>
    <w:rsid w:val="00CF47E1"/>
    <w:rsid w:val="00D07E79"/>
    <w:rsid w:val="00D22953"/>
    <w:rsid w:val="00E9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FAA0B1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10</cp:revision>
  <dcterms:created xsi:type="dcterms:W3CDTF">2025-08-14T18:48:00Z</dcterms:created>
  <dcterms:modified xsi:type="dcterms:W3CDTF">2026-01-13T11:15:00Z</dcterms:modified>
</cp:coreProperties>
</file>