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C1666" w14:textId="4CF6CB38" w:rsidR="00464B21" w:rsidRDefault="00394B62">
      <w:pPr>
        <w:spacing w:after="0" w:line="360" w:lineRule="auto"/>
      </w:pPr>
      <w:r>
        <w:t xml:space="preserve">3. </w:t>
      </w:r>
    </w:p>
    <w:p w14:paraId="49E865B6" w14:textId="32DEFC0F" w:rsidR="00464B2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клинический сценарий, сфокусированный на пациенте с передним инфарктом миокарда, для тестирования кардиологов.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17"/>
        <w:gridCol w:w="7587"/>
      </w:tblGrid>
      <w:tr w:rsidR="00010301" w14:paraId="7709BE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92CCD5" w14:textId="77777777" w:rsidR="00464B21" w:rsidRDefault="00464B2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C8FFC9" w14:textId="77777777" w:rsidR="00464B21" w:rsidRDefault="00464B21"/>
        </w:tc>
      </w:tr>
      <w:tr w:rsidR="00010301" w14:paraId="0CFB47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D75D1A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1B9E51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Мужчина, 55 лет.</w:t>
            </w:r>
          </w:p>
          <w:p w14:paraId="5E95442B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Ситуация: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Доставлен бригадой скорой медицинской помощи (СМП) в приемное отделение стационара, имеющего возможность выполнения чрескожных коронарных вмешательств (ЧКВ) 24/7.</w:t>
            </w:r>
          </w:p>
          <w:p w14:paraId="1F650F0C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обследование, поставить диагноз, назначить лечение в соответствии с клиническими рекомендациями.</w:t>
            </w:r>
          </w:p>
          <w:p w14:paraId="02FF08A5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«Инфаркт миокарда с подъемом сегмента ST электрокардиограммы», Российское кардиологическое общество (РКО), 2024 г.</w:t>
            </w:r>
          </w:p>
        </w:tc>
      </w:tr>
      <w:tr w:rsidR="00010301" w14:paraId="083396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FD9316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006BC8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Жалобы на интенсивную, сжимающую боль за грудиной,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иррадиирующую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в нижнюю челюсть и левую руку. Боль возникла около 90 минут назад, сопровождается одышкой, слабостью и холодным липким потом.</w:t>
            </w:r>
          </w:p>
        </w:tc>
      </w:tr>
      <w:tr w:rsidR="00010301" w14:paraId="2DCCA5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128614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AE890D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 слов пациента, боль возникла внезапно, в покое. Прием нитроглицерина (1 доза спрея), предоставленного бригадой СМП, привел к кратковременному незначительному уменьшению боли. Ранее подобных приступов не было. Стенокардия не диагностирована.</w:t>
            </w:r>
          </w:p>
        </w:tc>
      </w:tr>
      <w:tr w:rsidR="00010301" w14:paraId="370A27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E7513C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241C67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Артериальная гипертензия II стадии, регулярно гипотензивные препараты не принимает. Дислипидемия (повышенный холестерин), статины не принимает.</w:t>
            </w:r>
          </w:p>
          <w:p w14:paraId="23625856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Курит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до 1,5 пачек сигарет в день более 25 лет.</w:t>
            </w:r>
          </w:p>
          <w:p w14:paraId="0EE3A892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Наследственность: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Отец перенес инфаркт миокарда в возрасте 52 лет, мать страдает сахарным диабетом 2 типа.</w:t>
            </w:r>
          </w:p>
          <w:p w14:paraId="4EC6ADE6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Аллергологический анамнез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особенностей.</w:t>
            </w:r>
          </w:p>
        </w:tc>
      </w:tr>
      <w:tr w:rsidR="00010301" w14:paraId="11E46F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9EDB27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4A1939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Средней тяжести, ближе к тяжелому.</w:t>
            </w:r>
          </w:p>
          <w:p w14:paraId="0DB66013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Сознание: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Ясное, пациент обеспокоен, несколько возбужден.</w:t>
            </w:r>
          </w:p>
          <w:p w14:paraId="28906D81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Бледные, влажные.</w:t>
            </w:r>
          </w:p>
          <w:p w14:paraId="47C5B4F8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Дыхательная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Дыхание везикулярное, в нижних отделах с обеих сторон выслушиваются единичные влажные мелкопузырчатые хрипы. Частота дыхательных движений (ЧДД) — 22 в минуту. SpO2 — 93%.</w:t>
            </w:r>
          </w:p>
          <w:p w14:paraId="06BC7666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приглушены, ритм правильный. Частота сердечных сокращений (ЧСС) — 98 ударов в минуту. Артериальное давление (АД) — 135/85 мм рт. ст.</w:t>
            </w:r>
          </w:p>
          <w:p w14:paraId="0716D48A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Другие органы и системы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особенностей.</w:t>
            </w:r>
          </w:p>
        </w:tc>
      </w:tr>
      <w:tr w:rsidR="00010301" w14:paraId="69858D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937268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98B009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наиболее вероятный предварительный диагноз:</w:t>
            </w:r>
          </w:p>
          <w:p w14:paraId="5EA62235" w14:textId="77777777" w:rsidR="00464B21" w:rsidRDefault="00464B21"/>
          <w:p w14:paraId="267B3C66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Острый коронарный синдром с подъемом сегмента ST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ОКСпST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60C8D32B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94B6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Характер болевого синдрома, иррадиация, сопутствующие симптомы (одышка, потливость), наличие множественных факторов риска (курение, АГ, дислипидемия, отягощенная наследственность) и признаки начинающейся острой сердечной недостаточности (хрипы в легких) являются классическими проявлениями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ОКСпST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  <w:hyperlink w:anchor="fn1">
              <w:r w:rsidR="00464B21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135A08B8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1.1, стр. 12; раздел 2.1, стр. 21.</w:t>
            </w:r>
          </w:p>
          <w:p w14:paraId="000D2422" w14:textId="77777777" w:rsidR="00464B21" w:rsidRDefault="00464B21"/>
          <w:p w14:paraId="132FE30D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Нестабильная стенокардия</w:t>
            </w:r>
          </w:p>
          <w:p w14:paraId="2F263421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94B6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Длительность и интенсивность болевого синдрома, а также наличие подъема сегмента ST (будет показано на ЭКГ) не характерны для нестабильной стенокардии. Данная клиника указывает на острую полную окклюзию коронарной артерии.</w:t>
            </w:r>
            <w:hyperlink w:anchor="fn1">
              <w:r w:rsidR="00464B21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67AAA547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1.1, стр. 12.</w:t>
            </w:r>
          </w:p>
          <w:p w14:paraId="189393E9" w14:textId="77777777" w:rsidR="00464B21" w:rsidRDefault="00464B21"/>
          <w:p w14:paraId="709E1E38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Острый перикардит</w:t>
            </w:r>
          </w:p>
          <w:p w14:paraId="7CFA3C9B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94B6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Боль при перикардите чаще связана с дыханием и положением тела. Отсутствие шума трения перикарда и наличие признаков острой левожелудочковой недостаточности делают этот диагноз маловероятным.</w:t>
            </w:r>
            <w:hyperlink w:anchor="fn1">
              <w:r w:rsidR="00464B21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26F406AA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2.2, стр. 22.</w:t>
            </w:r>
          </w:p>
          <w:p w14:paraId="7AB06113" w14:textId="77777777" w:rsidR="00464B21" w:rsidRDefault="00464B21"/>
          <w:p w14:paraId="5B891461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Тромбоэмболия легочной артерии (ТЭЛА)</w:t>
            </w:r>
          </w:p>
          <w:p w14:paraId="34DFBE75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94B6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ТЭЛА может проявляться болью в груди и одышкой, для нее менее характерен типичный ангинозный болевой синдром с иррадиацией в руку и челюсть. ЭКГ-картина при ТЭЛА также отличается.</w:t>
            </w:r>
            <w:hyperlink w:anchor="fn1">
              <w:r w:rsidR="00464B21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069A5397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2.4, стр. 29.</w:t>
            </w:r>
          </w:p>
        </w:tc>
      </w:tr>
      <w:tr w:rsidR="00010301" w14:paraId="7D40F3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90DE41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AB3D28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необходимые лабораторные исследования при поступлении:</w:t>
            </w:r>
          </w:p>
          <w:p w14:paraId="6F55DD54" w14:textId="77777777" w:rsidR="00464B21" w:rsidRDefault="00464B21"/>
          <w:p w14:paraId="4C18C964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Исследование уровня тропонина I или T в крови</w:t>
            </w:r>
          </w:p>
          <w:p w14:paraId="6DF2CE21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94B6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Определение сердечных тропонинов является «золотым стандартом» для подтверждения некроза миокарда, однако ожидание результата не должно задерживать начало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реперфузионной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терапии.</w:t>
            </w:r>
            <w:hyperlink w:anchor="fn1">
              <w:r w:rsidR="00464B21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16DAA8CC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2.3, стр. 23.</w:t>
            </w:r>
          </w:p>
          <w:p w14:paraId="5D8A67A9" w14:textId="77777777" w:rsidR="00464B21" w:rsidRDefault="00464B21"/>
          <w:p w14:paraId="21B79829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Общий (клинический) анализ крови</w:t>
            </w:r>
          </w:p>
          <w:p w14:paraId="1B55279A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94B6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 для оценки уровня гемоглобина, гематокрита и тромбоцитов, что важно для оценки рисков кровотечения перед проведением антитромботической терапии.</w:t>
            </w:r>
            <w:hyperlink w:anchor="fn1">
              <w:r w:rsidR="00464B21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2CDCF618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2.3, стр. 24.</w:t>
            </w:r>
          </w:p>
          <w:p w14:paraId="33D9C492" w14:textId="77777777" w:rsidR="00464B21" w:rsidRDefault="00464B21"/>
          <w:p w14:paraId="4456E450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Анализ крови биохимический (креатинин, глюкоза, калий, липидный профиль)</w:t>
            </w:r>
          </w:p>
          <w:p w14:paraId="5481B1A5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94B6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Оценка функции почек 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рСКФ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 важна для выбора доз препаратов и контраста. Уровень глюкозы — для стратификации риска. Липидный профиль необходим для планирования вторичной профилактики.</w:t>
            </w:r>
            <w:hyperlink w:anchor="fn1">
              <w:r w:rsidR="00464B21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0E88E5F4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2.3, стр. 24-25.</w:t>
            </w:r>
          </w:p>
          <w:p w14:paraId="34EA8168" w14:textId="77777777" w:rsidR="00464B21" w:rsidRDefault="00464B21"/>
          <w:p w14:paraId="23733C5D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Коагулограмма (АЧТВ, МНО)</w:t>
            </w:r>
          </w:p>
          <w:p w14:paraId="16DF7D80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94B6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Базовые показатели гемостаза необходимы для оценки исходного состояния свертывающей системы перед началом антитромботической терапии.</w:t>
            </w:r>
            <w:hyperlink w:anchor="fn1">
              <w:r w:rsidR="00464B21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16DE5671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2.3, стр. 26.</w:t>
            </w:r>
          </w:p>
          <w:p w14:paraId="6AA6F6B4" w14:textId="77777777" w:rsidR="00464B21" w:rsidRDefault="00464B21"/>
          <w:p w14:paraId="22534670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5. Исследование уровня D-димера</w:t>
            </w:r>
          </w:p>
          <w:p w14:paraId="6FC1F181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94B6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При типичной клинике и ЭКГ-картине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ИМпST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рутинное определение D-димера не показано, так как это не влияет на тактику и приведет к неоправданной задержке лечения.</w:t>
            </w:r>
            <w:hyperlink w:anchor="fn1">
              <w:r w:rsidR="00464B21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7E5AD241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6.1, стр. 108.</w:t>
            </w:r>
          </w:p>
        </w:tc>
      </w:tr>
      <w:tr w:rsidR="00010301" w14:paraId="3FE3D4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BC525E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B0B318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необходимые инструментальные исследования:</w:t>
            </w:r>
          </w:p>
          <w:p w14:paraId="33D37C7B" w14:textId="77777777" w:rsidR="00464B21" w:rsidRDefault="00464B21"/>
          <w:p w14:paraId="535B4F94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Регистрация ЭКГ в 12 отведениях</w:t>
            </w:r>
          </w:p>
          <w:p w14:paraId="7108B2E2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94B6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ЭКГ должна быть зарегистрирована в течение 10 минут от первого медицинского контакта. Это ключевой метод для постановки диагноза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ОКСпST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определения тактики лечения.</w:t>
            </w:r>
            <w:hyperlink w:anchor="fn1">
              <w:r w:rsidR="00464B21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75C38B4C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2.4, стр. 26.</w:t>
            </w:r>
          </w:p>
          <w:p w14:paraId="69C3E4E8" w14:textId="77777777" w:rsidR="00464B21" w:rsidRDefault="00464B21"/>
          <w:p w14:paraId="1B3193B1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Немедленная коронарография (КГ) с намерением выполнить первичное ЧКВ</w:t>
            </w:r>
          </w:p>
          <w:p w14:paraId="57FBA6FF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94B6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КГ является обязательной процедурой в рамках стратегии первичного ЧКВ для выявления инфаркт-связанной артерии и выполнения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реваскуляризации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миокарда.</w:t>
            </w:r>
            <w:hyperlink w:anchor="fn1">
              <w:r w:rsidR="00464B21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6C42593A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2.4, стр. 28.</w:t>
            </w:r>
          </w:p>
          <w:p w14:paraId="4866090B" w14:textId="77777777" w:rsidR="00464B21" w:rsidRDefault="00464B21"/>
          <w:p w14:paraId="0D75D852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Эхокардиография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7CF875C9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94B6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необходима для оценки локальной и глобальной сократимости ЛЖ, выявления осложнений и стратификации риска. Ее выполнение не должно задерживать КГ, но может быть выполнено у постели больного в приемном отделении.</w:t>
            </w:r>
            <w:hyperlink w:anchor="fn1">
              <w:r w:rsidR="00464B21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62CBA278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2.4, стр. 28.</w:t>
            </w:r>
          </w:p>
          <w:p w14:paraId="3924B893" w14:textId="77777777" w:rsidR="00464B21" w:rsidRDefault="00464B21"/>
          <w:p w14:paraId="50C9B738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КТ-ангиография органов грудной клетки</w:t>
            </w:r>
          </w:p>
          <w:p w14:paraId="6586B4AF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94B6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При классической картине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ИМпST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КТ-ангиография не является рутинным методом и выполняется только при обоснованном подозрении на ТЭЛА или расслоение аорты, что в данном случае маловероятно и задержит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реперфузию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  <w:hyperlink w:anchor="fn1">
              <w:r w:rsidR="00464B21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7BCE9981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2.4, стр. 29.</w:t>
            </w:r>
          </w:p>
        </w:tc>
      </w:tr>
      <w:tr w:rsidR="00010301" w14:paraId="613095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55C56E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лабораторных и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83CCCD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Лабораторные данные:</w:t>
            </w:r>
          </w:p>
          <w:p w14:paraId="0E54A506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Тропонин I: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9.2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нг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/мл (норма </w:t>
            </w: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&lt; 0.04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нг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/мл).</w:t>
            </w:r>
          </w:p>
          <w:p w14:paraId="604B94C5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Гемоглобин 150 г/л, лейкоциты 13.1х10⁹/л, тромбоциты 280х10⁹/л.</w:t>
            </w:r>
          </w:p>
          <w:p w14:paraId="4E972F3E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Креатинин 95 мкмоль/л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рСКФ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80 мл/мин/1.73 м²), глюкоза 11.5 ммоль/л, ХС-ЛНП 4.8 ммоль/л.</w:t>
            </w:r>
          </w:p>
          <w:p w14:paraId="18FC4A06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Коагулограмма: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АЧТВ 32 сек, МНО 1.1.</w:t>
            </w:r>
          </w:p>
          <w:p w14:paraId="21B07C42" w14:textId="77777777" w:rsidR="00464B21" w:rsidRDefault="00464B21"/>
          <w:p w14:paraId="0A9BACAC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Инструментальные данные:</w:t>
            </w:r>
          </w:p>
          <w:p w14:paraId="0851B439" w14:textId="2201169F" w:rsidR="000103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010301" w:rsidRPr="00010301">
              <w:rPr>
                <w:rFonts w:ascii="inter" w:eastAsia="inter" w:hAnsi="inter" w:cs="inter"/>
                <w:color w:val="000000"/>
                <w:sz w:val="17"/>
              </w:rPr>
              <w:t>Подъём сегмента ST в отведениях I, VL, V3–V6</w:t>
            </w:r>
            <w:r w:rsidR="00010301" w:rsidRPr="00DD034E">
              <w:rPr>
                <w:rFonts w:ascii="Arial" w:eastAsia="Times New Roman" w:hAnsi="Arial" w:cs="Arial"/>
                <w:noProof/>
              </w:rPr>
              <w:drawing>
                <wp:inline distT="0" distB="0" distL="0" distR="0" wp14:anchorId="3EDE98B0" wp14:editId="6F3EC28D">
                  <wp:extent cx="4617153" cy="2467665"/>
                  <wp:effectExtent l="0" t="0" r="5715" b="0"/>
                  <wp:docPr id="19763694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36940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683" cy="2509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56781" w14:textId="77777777" w:rsidR="00464B21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(у постели больного):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Зоны акинезии передней стенки,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передне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-перегородочных и верхушечных сегментов левого желудочка (ЛЖ). Фракция выброса (ФВ) ЛЖ — 40%. Признаков механических осложнений не выявлено.</w:t>
            </w:r>
          </w:p>
        </w:tc>
      </w:tr>
      <w:tr w:rsidR="00010301" w14:paraId="2EA71E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EFE6CA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759CE3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Сформулируйте окончательный клинический диагноз:</w:t>
            </w:r>
          </w:p>
          <w:p w14:paraId="28109193" w14:textId="77777777" w:rsidR="00464B21" w:rsidRDefault="00464B21"/>
          <w:p w14:paraId="1EAD7777" w14:textId="56548A22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I21.0 Острый трансмуральный инфаркт миокарда передне</w:t>
            </w:r>
            <w:r w:rsidR="00010301">
              <w:rPr>
                <w:rFonts w:ascii="inter" w:eastAsia="inter" w:hAnsi="inter" w:cs="inter"/>
                <w:b/>
                <w:color w:val="000000"/>
                <w:sz w:val="17"/>
              </w:rPr>
              <w:t>-боковой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стенки левого желудочка. Острая левожелудочковая недостаточность,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Killip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II.</w:t>
            </w:r>
          </w:p>
          <w:p w14:paraId="7FCCD982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94B6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Диагноз точно отражает локализацию инфаркта по данным ЭКГ и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передне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-распространенный). Наличие влажных хрипов в легких классифицируется как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Killip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II. Код I21.0 соответствует ИМ передней стенки.</w:t>
            </w:r>
            <w:hyperlink w:anchor="fn1">
              <w:r w:rsidR="00464B21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70C142CA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1.4, стр. 17; раздел 3.4.1, стр. 79.</w:t>
            </w:r>
          </w:p>
          <w:p w14:paraId="412C353F" w14:textId="77777777" w:rsidR="00464B21" w:rsidRDefault="00464B21"/>
          <w:p w14:paraId="58038116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I21.1 Острый трансмуральный инфаркт миокарда нижней стенки.</w:t>
            </w:r>
          </w:p>
          <w:p w14:paraId="197C029C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94B6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Код I21.1 и диагноз инфаркта нижней стенки не соответствуют данным ЭКГ, на которых элевация ST регистрируется в передних и боковых отведениях (V1-V4, I,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aVL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).</w:t>
            </w:r>
          </w:p>
          <w:p w14:paraId="457CD770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1.4, стр. 17.</w:t>
            </w:r>
          </w:p>
          <w:p w14:paraId="6161C970" w14:textId="77777777" w:rsidR="00464B21" w:rsidRDefault="00464B21"/>
          <w:p w14:paraId="7F79C126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I24.0 Коронарный тромбоз, не приводящий к инфаркту миокарда.</w:t>
            </w:r>
          </w:p>
          <w:p w14:paraId="7CF3CB7B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94B6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Этот диагноз ставится, когда на фоне лечения некроз миокарда не успел развиться (нет значимого повышения тропонинов). У данного пациента имеется выраженное повышение уровня тропонина, что подтверждает состоявшийся ИМ.</w:t>
            </w:r>
          </w:p>
          <w:p w14:paraId="2FD2377A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1.4, стр. 17.</w:t>
            </w:r>
          </w:p>
        </w:tc>
      </w:tr>
      <w:tr w:rsidR="00010301" w14:paraId="452408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4FFCFA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A8FCE2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оптимальную и полную тактику лечения:</w:t>
            </w:r>
          </w:p>
          <w:p w14:paraId="04FA1976" w14:textId="77777777" w:rsidR="00464B21" w:rsidRDefault="00464B21"/>
          <w:p w14:paraId="09AF6F8E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1. Немедленная коронарография с намерением выполнить первичное ЧКВ инфаркт-связанной артерии. В качестве доступа выбрать лучевую артерию. Использовать стент, выделяющий лекарство. Назначить двойную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антитромбоцитарную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терапию (ДАТТ): АСК 150-300 мг (разжевать) +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тикагрелор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180 мг, и парентеральный антикоагулянт (НФГ в/в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болюсно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70-100 МЕ/кг).</w:t>
            </w:r>
          </w:p>
          <w:p w14:paraId="2A574A18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94B6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Первичное ЧКВ — это метод выбора для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реперфузии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если оно может быть выполнено в течение 120 минут от постановки диагноза. Лучевой доступ и использование стентов с лекарственным покрытием являются стандартами. Комбинация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АСК+тикагрелор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НФГ является рекомендованной для сопровождения первичного ЧКВ у пациентов без противопоказаний.</w:t>
            </w:r>
            <w:hyperlink w:anchor="fn1">
              <w:r w:rsidR="00464B21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71C23456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3.1.1, стр. 31; раздел 3.1.2, стр. 33; раздел 3.2.3.2, стр. 53-58.</w:t>
            </w:r>
          </w:p>
          <w:p w14:paraId="425EBB3B" w14:textId="77777777" w:rsidR="00464B21" w:rsidRDefault="00464B21"/>
          <w:p w14:paraId="4741A72A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Проведение тромболитической терапии (ТЛТ) в приемном отделении.</w:t>
            </w:r>
          </w:p>
          <w:p w14:paraId="3CB6E334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94B6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ТЛТ показана только в случае, если невозможно выполнить первичное ЧКВ в рекомендованные сроки (&lt;120 мин). В условиях ЧКВ-центра проведение ТЛТ является ошибкой и задержкой адекватного лечения.</w:t>
            </w:r>
            <w:hyperlink w:anchor="fn1">
              <w:r w:rsidR="00464B21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4F371FC6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3.1.1, стр. 31.</w:t>
            </w:r>
          </w:p>
          <w:p w14:paraId="10CADFA0" w14:textId="77777777" w:rsidR="00464B21" w:rsidRDefault="00464B21"/>
          <w:p w14:paraId="51F1B7CB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Начать консервативную терапию (обезболивание, антикоагулянты), отложить ЧКВ на 24-48 часов.</w:t>
            </w:r>
          </w:p>
          <w:p w14:paraId="4124C934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94B6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Отказ от экстренной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реперфузии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при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ИМпST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в первые 12 часов от начала симптомов значительно увеличивает размер некроза, риск осложнений и смертность. Это грубейшая тактическая ошибка.</w:t>
            </w:r>
            <w:hyperlink w:anchor="fn1">
              <w:r w:rsidR="00464B21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3B479D4B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3.1.1, стр. 31.</w:t>
            </w:r>
          </w:p>
          <w:p w14:paraId="456A1213" w14:textId="77777777" w:rsidR="00464B21" w:rsidRDefault="00464B21"/>
          <w:p w14:paraId="114435DA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Экстренное аортокоронарное шунтирование (КШ).</w:t>
            </w:r>
          </w:p>
          <w:p w14:paraId="00D2A299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94B6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Экстренное КШ при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ИМпST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не является методом выбора и выполняется по строгим показаниям, таким как невозможность выполнения ЧКВ, определенная анатомия коронарных артерий или наличие механических осложнений инфаркта. Первичным методом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реваскуляризации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является ЧКВ.</w:t>
            </w:r>
            <w:hyperlink w:anchor="fn1">
              <w:r w:rsidR="00464B21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  <w:p w14:paraId="2BB4761D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Инфаркт миокарда с подъемом сегмента ST ЭКГ, 2024, раздел 3.1.6, стр. 42.</w:t>
            </w:r>
          </w:p>
        </w:tc>
      </w:tr>
      <w:tr w:rsidR="00010301" w14:paraId="180AF2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6CFD5F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40E9B1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Источник, использованный для создания сценария:</w:t>
            </w:r>
          </w:p>
          <w:p w14:paraId="275236BF" w14:textId="77777777" w:rsidR="00464B2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Инфаркт миокарда с подъемом сегмента ST электрокардиограммы. Клинические рекомендации 2024. Российское кардиологическое общество (РКО). Утверждены Минздравом РФ.</w:t>
            </w:r>
          </w:p>
        </w:tc>
      </w:tr>
    </w:tbl>
    <w:p w14:paraId="76FADDA0" w14:textId="77777777" w:rsidR="00464B21" w:rsidRDefault="00464B21"/>
    <w:p w14:paraId="1115456E" w14:textId="77777777" w:rsidR="00464B21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78153BA3" w14:textId="77777777" w:rsidR="00464B21" w:rsidRDefault="00DF323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6EA2E25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10C5BD0" w14:textId="77FF86F9" w:rsidR="00464B21" w:rsidRDefault="00000000" w:rsidP="00394B62">
      <w:pPr>
        <w:numPr>
          <w:ilvl w:val="0"/>
          <w:numId w:val="2"/>
        </w:numPr>
        <w:spacing w:after="210" w:line="360" w:lineRule="auto"/>
      </w:pPr>
      <w:bookmarkStart w:id="0" w:name="fn1"/>
      <w:bookmarkEnd w:id="0"/>
      <w:r>
        <w:rPr>
          <w:rFonts w:ascii="inter" w:eastAsia="inter" w:hAnsi="inter" w:cs="inter"/>
          <w:color w:val="000000"/>
          <w:sz w:val="18"/>
        </w:rPr>
        <w:t xml:space="preserve">Infarkt-miokarda-s-podemom-segmenta-ST-VNOK-2024-1.pdf                  </w:t>
      </w:r>
      <w:bookmarkStart w:id="1" w:name="fn2"/>
      <w:bookmarkEnd w:id="1"/>
    </w:p>
    <w:sectPr w:rsidR="00464B2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733AE"/>
    <w:multiLevelType w:val="hybridMultilevel"/>
    <w:tmpl w:val="D430B450"/>
    <w:lvl w:ilvl="0" w:tplc="EE8AEA22">
      <w:numFmt w:val="decimal"/>
      <w:lvlText w:val=""/>
      <w:lvlJc w:val="left"/>
    </w:lvl>
    <w:lvl w:ilvl="1" w:tplc="DDEC258A">
      <w:numFmt w:val="decimal"/>
      <w:lvlText w:val=""/>
      <w:lvlJc w:val="left"/>
    </w:lvl>
    <w:lvl w:ilvl="2" w:tplc="74428ED8">
      <w:numFmt w:val="decimal"/>
      <w:lvlText w:val=""/>
      <w:lvlJc w:val="left"/>
    </w:lvl>
    <w:lvl w:ilvl="3" w:tplc="5A06FAD4">
      <w:numFmt w:val="decimal"/>
      <w:lvlText w:val=""/>
      <w:lvlJc w:val="left"/>
    </w:lvl>
    <w:lvl w:ilvl="4" w:tplc="39AE31BE">
      <w:numFmt w:val="decimal"/>
      <w:lvlText w:val=""/>
      <w:lvlJc w:val="left"/>
    </w:lvl>
    <w:lvl w:ilvl="5" w:tplc="913E604E">
      <w:numFmt w:val="decimal"/>
      <w:lvlText w:val=""/>
      <w:lvlJc w:val="left"/>
    </w:lvl>
    <w:lvl w:ilvl="6" w:tplc="EB70E3F2">
      <w:numFmt w:val="decimal"/>
      <w:lvlText w:val=""/>
      <w:lvlJc w:val="left"/>
    </w:lvl>
    <w:lvl w:ilvl="7" w:tplc="5CE2B1AE">
      <w:numFmt w:val="decimal"/>
      <w:lvlText w:val=""/>
      <w:lvlJc w:val="left"/>
    </w:lvl>
    <w:lvl w:ilvl="8" w:tplc="043A8DF2">
      <w:numFmt w:val="decimal"/>
      <w:lvlText w:val=""/>
      <w:lvlJc w:val="left"/>
    </w:lvl>
  </w:abstractNum>
  <w:abstractNum w:abstractNumId="1" w15:restartNumberingAfterBreak="0">
    <w:nsid w:val="47FC4088"/>
    <w:multiLevelType w:val="hybridMultilevel"/>
    <w:tmpl w:val="A5649044"/>
    <w:lvl w:ilvl="0" w:tplc="1C507B0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4BE5884">
      <w:numFmt w:val="decimal"/>
      <w:lvlText w:val=""/>
      <w:lvlJc w:val="left"/>
    </w:lvl>
    <w:lvl w:ilvl="2" w:tplc="539C1F2E">
      <w:numFmt w:val="decimal"/>
      <w:lvlText w:val=""/>
      <w:lvlJc w:val="left"/>
    </w:lvl>
    <w:lvl w:ilvl="3" w:tplc="679C3FBE">
      <w:numFmt w:val="decimal"/>
      <w:lvlText w:val=""/>
      <w:lvlJc w:val="left"/>
    </w:lvl>
    <w:lvl w:ilvl="4" w:tplc="E4423E46">
      <w:numFmt w:val="decimal"/>
      <w:lvlText w:val=""/>
      <w:lvlJc w:val="left"/>
    </w:lvl>
    <w:lvl w:ilvl="5" w:tplc="59C0AAB0">
      <w:numFmt w:val="decimal"/>
      <w:lvlText w:val=""/>
      <w:lvlJc w:val="left"/>
    </w:lvl>
    <w:lvl w:ilvl="6" w:tplc="BE9E5982">
      <w:numFmt w:val="decimal"/>
      <w:lvlText w:val=""/>
      <w:lvlJc w:val="left"/>
    </w:lvl>
    <w:lvl w:ilvl="7" w:tplc="681C78A4">
      <w:numFmt w:val="decimal"/>
      <w:lvlText w:val=""/>
      <w:lvlJc w:val="left"/>
    </w:lvl>
    <w:lvl w:ilvl="8" w:tplc="95A6A4A8">
      <w:numFmt w:val="decimal"/>
      <w:lvlText w:val=""/>
      <w:lvlJc w:val="left"/>
    </w:lvl>
  </w:abstractNum>
  <w:num w:numId="1" w16cid:durableId="1681349542">
    <w:abstractNumId w:val="0"/>
  </w:num>
  <w:num w:numId="2" w16cid:durableId="138502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B21"/>
    <w:rsid w:val="00010301"/>
    <w:rsid w:val="00151D5C"/>
    <w:rsid w:val="00167D76"/>
    <w:rsid w:val="00394B62"/>
    <w:rsid w:val="00464B21"/>
    <w:rsid w:val="00DF3238"/>
    <w:rsid w:val="00EB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44CC512"/>
  <w15:docId w15:val="{7C937DCD-5514-9B45-9847-870E93A8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1692</Words>
  <Characters>9650</Characters>
  <Application>Microsoft Office Word</Application>
  <DocSecurity>0</DocSecurity>
  <Lines>80</Lines>
  <Paragraphs>22</Paragraphs>
  <ScaleCrop>false</ScaleCrop>
  <Company/>
  <LinksUpToDate>false</LinksUpToDate>
  <CharactersWithSpaces>11320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3</cp:revision>
  <dcterms:created xsi:type="dcterms:W3CDTF">2025-08-14T05:52:00Z</dcterms:created>
  <dcterms:modified xsi:type="dcterms:W3CDTF">2025-08-18T03:40:00Z</dcterms:modified>
</cp:coreProperties>
</file>