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D978" w14:textId="7F2B300C" w:rsidR="00C16BE6" w:rsidRPr="009B3DCA" w:rsidRDefault="00C16BE6">
      <w:pPr>
        <w:spacing w:after="0" w:line="360" w:lineRule="auto"/>
      </w:pPr>
    </w:p>
    <w:p w14:paraId="320A70F8" w14:textId="70E73321" w:rsidR="00C16BE6" w:rsidRDefault="00B63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 пациент старческого возраста с постоянной формой фибрилляции предсердий.</w:t>
      </w:r>
    </w:p>
    <w:p w14:paraId="559CB2E2" w14:textId="77777777" w:rsidR="00C16BE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 для тестирования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9"/>
        <w:gridCol w:w="7545"/>
      </w:tblGrid>
      <w:tr w:rsidR="009B3DCA" w14:paraId="42A01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76B4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Категория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2C7C0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 и варианты ответов</w:t>
            </w:r>
          </w:p>
        </w:tc>
      </w:tr>
      <w:tr w:rsidR="009B3DCA" w14:paraId="11A798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F768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E7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Пациент, мужчина, 78 лет, на амбулаторном приеме у кардиолога. Цель: провести обследование, подтвердить диагноз, оценить риски, назначить и/или скорректировать лечение в соответствии с актуальными клиническими рекомендациями.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Клинические рекомендации «Фибрилляция и трепетание предсердий», 2020 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710CA9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71374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D2477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постоянное ощущение нерегулярного сердцебиения, одышку при умеренной физической нагрузке (подъем на 2-й этаж), повышенную утомляемость, общую слабость.</w:t>
            </w:r>
          </w:p>
        </w:tc>
      </w:tr>
      <w:tr w:rsidR="009B3DCA" w14:paraId="6618D9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DC3C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C7533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Перебои в работе сердца отмечает в течение последних 2 лет. За медицинской помощью не обращался. Последний год симптомы стали постоянными. Пароксизмы ранее не регистрировались. Самостоятельно ничего не принимает.</w:t>
            </w:r>
          </w:p>
        </w:tc>
      </w:tr>
      <w:tr w:rsidR="009B3DCA" w14:paraId="295190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4CACE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92158D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Гипертоническая болезнь в течение 15 лет с максимальными цифрами АД до 170/100 мм рт. ст., адаптирован к 130/80 мм рт. ст. Хроническая сердечная недостаточность (ХСН) II ФК. Сахарный диабет 2-го типа. Инфаркт миокарда 5 лет назад. Вес 90 кг, рост 175 см. Аллергологический анамнез не отягощен.</w:t>
            </w:r>
          </w:p>
        </w:tc>
      </w:tr>
      <w:tr w:rsidR="009B3DCA" w14:paraId="592AC9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DB6E2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CDD9D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физиологической окраски. Пульс аритмичный, 98 ударов в минуту, дефицит пульса – 12. АД 135/85 мм рт. ст. ЧДД 18 в минуту. Тоны сердца аритмичные, приглушены. В легких дыхание везикулярное, хрипов нет. Печень не увеличена. Отеков нет.</w:t>
            </w:r>
          </w:p>
        </w:tc>
      </w:tr>
      <w:tr w:rsidR="009B3DCA" w14:paraId="28A9E2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0F669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79FBDA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Укажите наиболее вероятный диагноз:</w:t>
            </w:r>
          </w:p>
          <w:p w14:paraId="39BFAEA4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Постоянная форма фибрилляции предсердий (ФП).</w:t>
            </w:r>
          </w:p>
          <w:p w14:paraId="099B9842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основан на длительности симптомов более 1 года и решении не восстанавливать синусовый ритм. Источник: раздел 1.5, стр. 16 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12CC4D0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Пароксизмальная форма ФП.</w:t>
            </w:r>
          </w:p>
          <w:p w14:paraId="1D87392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Пароксизмальная форма купируется самостоятельно, как правило, в течение 48 часов, но не позднее 7 суток. Источник: раздел 1.5, стр. 16 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7A9567A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Персистирующая форма ФП.</w:t>
            </w:r>
          </w:p>
          <w:p w14:paraId="66676C12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Персистирующая форма длится более 7 дней, но при этом сохраняется стратегия контроля ритма. У данного пациента аритмия длится более года. Источник: раздел 1.5, стр. 16 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66D00E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016A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2F4A4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61F012D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анализ крови (с определением уровня гемоглобина и тромбоцитов).</w:t>
            </w:r>
          </w:p>
          <w:p w14:paraId="520FA516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Необходимо для исключения анемии и тромбоцитопении перед назначением антикоагулянтов. Источник: раздел 2.5.1, стр. 20 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D3D14C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Биохимический анализ крови (креатинин с расчетом КК, АСТ, АЛТ, билирубин).</w:t>
            </w:r>
          </w:p>
          <w:p w14:paraId="6B541E8A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Обязателен для оценки функции почек и печени для корректного выбора и дозирования антикоагулянтов. Источник: раздел 2.5.1, стр. 21 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15249011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Международное нормализованное отношение (МНО).</w:t>
            </w:r>
          </w:p>
          <w:p w14:paraId="36B7A049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Необходимо для исключения исходных нарушений свертывания. Источник: раздел 2.5.1, стр. 21 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D8CEEA1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Определение уровня D-димера.</w:t>
            </w:r>
          </w:p>
          <w:p w14:paraId="62AB75B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 является рутинным исследованием для диагностики и ведения ФП, используется при подозрении на ТЭЛА или тромбоз глубоких вен. В рекомендациях не указано. Источник: раздел 2.3, стр. 19 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70EDF7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78AF4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A9BD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необходимые инструментальные исследования:</w:t>
            </w:r>
          </w:p>
          <w:p w14:paraId="1A3961D9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ЭКГ в 12 отведениях.</w:t>
            </w:r>
          </w:p>
          <w:p w14:paraId="266B7409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Основной метод для подтверждения диагноза ФП. Источник: раздел 2.4, стр. 19 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34F4B93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Трансторакальная эхокардиография.</w:t>
            </w:r>
          </w:p>
          <w:p w14:paraId="1412F2C3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Необходима для оценки структуры и функции сердца, выявления клапанной патологии и гипертрофии. Источник: раздел 2.4, стр. 19 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5F7EAB3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Чреспищеводная эхокардиография (ЧПЭхоКГ).</w:t>
            </w:r>
          </w:p>
          <w:p w14:paraId="02F3A6E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 является обязательным рутинным методом при постоянной форме ФП, если не планируется кардиоверсия. Источник: разделы 3.1.1.2, 3.2.5, стр. 26-29, 63-65 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58579A0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Коронароангиография.</w:t>
            </w:r>
          </w:p>
          <w:p w14:paraId="33BCE6C6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Проводится по показаниям при подозрении на ИБС, а не для диагностики ФП. Источник: раздел 3.3.11, стр. 75 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3C768D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AAF1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5D28E2" w14:textId="7B8E534D" w:rsidR="00C16BE6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 с</w:t>
            </w:r>
            <w:r w:rsidR="009B3DCA">
              <w:rPr>
                <w:rFonts w:ascii="inter" w:eastAsia="inter" w:hAnsi="inter" w:cs="inter"/>
                <w:color w:val="000000"/>
                <w:sz w:val="17"/>
              </w:rPr>
              <w:t xml:space="preserve">о средней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ЧСС 95 в мин. </w:t>
            </w:r>
            <w:r w:rsidR="009B3DCA">
              <w:rPr>
                <w:rFonts w:ascii="inter" w:eastAsia="inter" w:hAnsi="inter" w:cs="inter"/>
                <w:color w:val="000000"/>
                <w:sz w:val="17"/>
              </w:rPr>
              <w:t xml:space="preserve">Одиночная желудочковая экстрасистола. </w:t>
            </w:r>
            <w:r>
              <w:rPr>
                <w:rFonts w:ascii="inter" w:eastAsia="inter" w:hAnsi="inter" w:cs="inter"/>
                <w:color w:val="000000"/>
                <w:sz w:val="17"/>
              </w:rPr>
              <w:t>Признаки гипертрофии левого желудочка</w:t>
            </w:r>
            <w:r w:rsidR="009B3DCA">
              <w:rPr>
                <w:rFonts w:ascii="inter" w:eastAsia="inter" w:hAnsi="inter" w:cs="inter"/>
                <w:color w:val="000000"/>
                <w:sz w:val="17"/>
              </w:rPr>
              <w:t xml:space="preserve"> с нарушением реполяризации (косонисходящая депрессия </w:t>
            </w:r>
            <w:r w:rsidR="009B3DCA">
              <w:rPr>
                <w:rFonts w:ascii="inter" w:eastAsia="inter" w:hAnsi="inter" w:cs="inter"/>
                <w:color w:val="000000"/>
                <w:sz w:val="17"/>
                <w:lang w:val="en-US"/>
              </w:rPr>
              <w:t>ST</w:t>
            </w:r>
            <w:r w:rsidR="009B3DCA" w:rsidRPr="009B3DCA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9B3DCA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9B3DCA" w:rsidRPr="009B3DCA">
              <w:rPr>
                <w:rFonts w:ascii="inter" w:eastAsia="inter" w:hAnsi="inter" w:cs="inter"/>
                <w:color w:val="000000"/>
                <w:sz w:val="17"/>
              </w:rPr>
              <w:t>4-</w:t>
            </w:r>
            <w:r w:rsidR="009B3DCA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9B3DCA" w:rsidRPr="00121446">
              <w:rPr>
                <w:rFonts w:ascii="inter" w:eastAsia="inter" w:hAnsi="inter" w:cs="inter"/>
                <w:color w:val="000000"/>
                <w:sz w:val="17"/>
              </w:rPr>
              <w:t>6</w:t>
            </w:r>
            <w:r w:rsidR="009B3DCA">
              <w:rPr>
                <w:rFonts w:ascii="inter" w:eastAsia="inter" w:hAnsi="inter" w:cs="inter"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  <w:p w14:paraId="35B3C228" w14:textId="0FF133C3" w:rsidR="009B3DCA" w:rsidRDefault="009B3DCA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35B6E39" wp14:editId="339CAC71">
                  <wp:extent cx="4470241" cy="2476163"/>
                  <wp:effectExtent l="0" t="0" r="635" b="635"/>
                  <wp:docPr id="18874861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86112" name="Рисунок 188748611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384" cy="25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619E1" w14:textId="73282D51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ФВ ЛЖ 45%. Дилатация левого предсердия (5,2 см). </w:t>
            </w:r>
            <w:r w:rsidR="00121446">
              <w:rPr>
                <w:rFonts w:ascii="inter" w:eastAsia="inter" w:hAnsi="inter" w:cs="inter"/>
                <w:color w:val="000000"/>
                <w:sz w:val="17"/>
              </w:rPr>
              <w:t>Выраженная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гипертрофия миокарда ЛЖ (1,</w:t>
            </w:r>
            <w:r w:rsidR="00121446">
              <w:rPr>
                <w:rFonts w:ascii="inter" w:eastAsia="inter" w:hAnsi="inter" w:cs="inter"/>
                <w:color w:val="000000"/>
                <w:sz w:val="17"/>
              </w:rPr>
              <w:t>7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см).</w:t>
            </w:r>
          </w:p>
          <w:p w14:paraId="264B93EC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130 г/л, тромбоциты 210х10^9/л, креатинин 135 мкмоль/л (КК по Кокрофту-Голту 48 мл/мин), АЛТ/АСТ в норме.</w:t>
            </w:r>
          </w:p>
        </w:tc>
      </w:tr>
      <w:tr w:rsidR="009B3DCA" w14:paraId="73B787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49C4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8D1A01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5E2B5EA5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ИБС: Постинфарктный кардиосклероз (инфаркт миокарда от ХХ.ХХ.ХХХХ г.). Постоянная форма фибрилляции предсердий, тахисистолический вариант. ХСН II ФК (NYHA). Артериальная гипертензия 3 стадии, риск 4. Сахарный диабет 2-го типа. ХБП С3а.</w:t>
            </w:r>
          </w:p>
          <w:p w14:paraId="40DAC851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полно отражает все имеющиеся у пациента состояния в соответствии с классификациями. Источники: разделы 1.5, 3.3.1, 3.3.5, 3.3.15, стр. 15, 68, 70, 78 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443A63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персистирующая форма.</w:t>
            </w:r>
          </w:p>
          <w:p w14:paraId="524D51B1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Неверно определена форма ФП, что влияет на тактику лечения. Источник: раздел 1.5, стр. 16 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B43E3D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ИБС: Стенокардия напряжения.</w:t>
            </w:r>
          </w:p>
          <w:p w14:paraId="7688A890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Диагноз ИБС неполный, не учтен перенесенный инфаркт, что важно для оценки риска. Жалоб на стенокардию нет. Источник: раздел 1.2, стр. 14 </w:t>
            </w:r>
            <w:bookmarkStart w:id="14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5589DB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62AA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6077BA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тактику лечения:</w:t>
            </w:r>
          </w:p>
          <w:p w14:paraId="7ADE19F2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Стратегия «контроль частоты». Назначение бета-адреноблокаторов (например, бисопролол) для достижения целевой ЧСС в покое &lt;110/мин.</w:t>
            </w:r>
          </w:p>
          <w:p w14:paraId="35965106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Для пациентов с постоянной формой ФП и симптомами, связанными с тахикардией, рекомендован контроль ЧСС. Источники: раздел 3.1.2.1, Таблица П6, стр. 41-42, 157 </w:t>
            </w:r>
            <w:bookmarkStart w:id="15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62AF339C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Назначение пероральных антикоагулянтов. С учетом КК 48 мл/мин, возможен прием ривароксабана в редуцированной дозе 15 мг/сут или апиксабана 5 мг 2 р/сут.</w:t>
            </w:r>
          </w:p>
          <w:p w14:paraId="765BDF1B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У пациента высокий риск по CHA2DS2-VASc (возраст, АГ, СД, ИМ в анамнезе, ХСН). Необходим прием ПОАК с коррекцией дозы по функции почек. Источники: раздел 3.1.1.1, Таблица П10, стр. 23, 161 </w:t>
            </w:r>
            <w:bookmarkStart w:id="16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3D8AFD2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Назначение амиодарона для восстановления синусового ритма.</w:t>
            </w:r>
          </w:p>
          <w:p w14:paraId="181F969E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При постоянной форме ФП стратегия контроля ритма не является первоочередной и сопряжена с рисками побочных эффектов, особенно у пожилых. Источник: раздел 3.1.2.3.1, стр. 50-51 </w:t>
            </w:r>
            <w:bookmarkStart w:id="17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0EE1FB20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121446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Назначение ацетилсалициловой кислоты 100 мг/сут для профилактики инсульта.</w:t>
            </w:r>
          </w:p>
          <w:p w14:paraId="0E6BB84B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Антиагреганты не рекомендованы для профилактики инсульта при ФП, так как их эффективность значительно уступает антикоагулянтам. Источник: раздел 3.1.1.1, стр. 26 </w:t>
            </w:r>
            <w:bookmarkStart w:id="18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4D9E7B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7B26C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448DAF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Определите план диспансерного наблюдения:</w:t>
            </w:r>
          </w:p>
          <w:p w14:paraId="7EFC521B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5E107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Регулярный контроль ЧСС, АД. Контроль ЭКГ 1 раз в 6-12 мес. Контроль функции почек (креатинин с расчетом КК) не реже 1 раза в год.</w:t>
            </w:r>
          </w:p>
          <w:p w14:paraId="30E6C65A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Необходим для оценки эффективности и безопасности терапии. Частота контроля функции почек зависит от исходного уровня. Источники: разделы 5, 6.4, Таблица П12, стр. 81, 86, 175 </w:t>
            </w:r>
            <w:bookmarkStart w:id="19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20543DCB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5E107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Оценка приверженности к антикоагулянтной терапии при каждом визите.</w:t>
            </w:r>
          </w:p>
          <w:p w14:paraId="5AD35914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Является ключевым фактором эффективности профилактики тромбоэмболических осложнений. Источник: раздел 6.4, стр. 86 </w:t>
            </w:r>
            <w:bookmarkStart w:id="20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790D4747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5E107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Отмена антикоагулянтной терапии через 1 год при отсутствии рецидивов.</w:t>
            </w:r>
          </w:p>
          <w:p w14:paraId="0D74680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При постоянной форме ФП и высоком риске по CHA2DS2-VASc антикоагулянтная терапия назначается пожизненно. Источник: раздел 3.1.1.1, стр. 23 </w:t>
            </w:r>
            <w:bookmarkStart w:id="21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1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  <w:p w14:paraId="45C7AA56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5E107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Ежемесячный контроль МНО.</w:t>
            </w:r>
          </w:p>
          <w:p w14:paraId="17DE7E43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МНО контролируется только при приеме антагонистов витамина К (варфарина). При лечении ПОАК рутинный контроль показателей коагулограммы не требуется. Источник: раздел 3.1.1.1, стр. 24 </w:t>
            </w:r>
            <w:bookmarkStart w:id="22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2"/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.</w:t>
            </w:r>
          </w:p>
        </w:tc>
      </w:tr>
      <w:tr w:rsidR="009B3DCA" w14:paraId="3E5240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D4890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D5ACC8" w14:textId="77777777" w:rsidR="00C16BE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Источник: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Клинические рекомендации «Фибрилляция и трепетание предсердий»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Год утверждения: 2020. Разработчик: Российское кардиологическое общество </w:t>
            </w:r>
            <w:hyperlink w:anchor="fn1">
              <w:r w:rsidR="00C16BE6"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748C2779" w14:textId="77777777" w:rsidR="00C16BE6" w:rsidRDefault="00C16BE6"/>
    <w:p w14:paraId="3FD33F99" w14:textId="77777777" w:rsidR="00C16BE6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63BA6FA" w14:textId="77777777" w:rsidR="00C16BE6" w:rsidRDefault="0065611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364683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8188DB" w14:textId="6225AC1F" w:rsidR="00C16BE6" w:rsidRDefault="00000000">
      <w:pPr>
        <w:numPr>
          <w:ilvl w:val="0"/>
          <w:numId w:val="2"/>
        </w:numPr>
        <w:spacing w:after="210" w:line="360" w:lineRule="auto"/>
      </w:pPr>
      <w:bookmarkStart w:id="23" w:name="fn1"/>
      <w:bookmarkEnd w:id="23"/>
      <w:r>
        <w:rPr>
          <w:rFonts w:ascii="inter" w:eastAsia="inter" w:hAnsi="inter" w:cs="inter"/>
          <w:color w:val="000000"/>
          <w:sz w:val="18"/>
        </w:rPr>
        <w:lastRenderedPageBreak/>
        <w:t xml:space="preserve">Fibrilliatsiia-predserdii-2020--1.pdf                        </w:t>
      </w:r>
    </w:p>
    <w:sectPr w:rsidR="00C16BE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B3D91"/>
    <w:multiLevelType w:val="hybridMultilevel"/>
    <w:tmpl w:val="5062423A"/>
    <w:lvl w:ilvl="0" w:tplc="3D5098D6">
      <w:numFmt w:val="decimal"/>
      <w:lvlText w:val=""/>
      <w:lvlJc w:val="left"/>
    </w:lvl>
    <w:lvl w:ilvl="1" w:tplc="E81C14FA">
      <w:numFmt w:val="decimal"/>
      <w:lvlText w:val=""/>
      <w:lvlJc w:val="left"/>
    </w:lvl>
    <w:lvl w:ilvl="2" w:tplc="148470A8">
      <w:numFmt w:val="decimal"/>
      <w:lvlText w:val=""/>
      <w:lvlJc w:val="left"/>
    </w:lvl>
    <w:lvl w:ilvl="3" w:tplc="5A76E924">
      <w:numFmt w:val="decimal"/>
      <w:lvlText w:val=""/>
      <w:lvlJc w:val="left"/>
    </w:lvl>
    <w:lvl w:ilvl="4" w:tplc="9A7AB85C">
      <w:numFmt w:val="decimal"/>
      <w:lvlText w:val=""/>
      <w:lvlJc w:val="left"/>
    </w:lvl>
    <w:lvl w:ilvl="5" w:tplc="46106300">
      <w:numFmt w:val="decimal"/>
      <w:lvlText w:val=""/>
      <w:lvlJc w:val="left"/>
    </w:lvl>
    <w:lvl w:ilvl="6" w:tplc="837CA6CE">
      <w:numFmt w:val="decimal"/>
      <w:lvlText w:val=""/>
      <w:lvlJc w:val="left"/>
    </w:lvl>
    <w:lvl w:ilvl="7" w:tplc="B854FC74">
      <w:numFmt w:val="decimal"/>
      <w:lvlText w:val=""/>
      <w:lvlJc w:val="left"/>
    </w:lvl>
    <w:lvl w:ilvl="8" w:tplc="A186FBE2">
      <w:numFmt w:val="decimal"/>
      <w:lvlText w:val=""/>
      <w:lvlJc w:val="left"/>
    </w:lvl>
  </w:abstractNum>
  <w:abstractNum w:abstractNumId="1" w15:restartNumberingAfterBreak="0">
    <w:nsid w:val="5A9B2DCE"/>
    <w:multiLevelType w:val="hybridMultilevel"/>
    <w:tmpl w:val="CA48B278"/>
    <w:lvl w:ilvl="0" w:tplc="43D23D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5C5AC6">
      <w:numFmt w:val="decimal"/>
      <w:lvlText w:val=""/>
      <w:lvlJc w:val="left"/>
    </w:lvl>
    <w:lvl w:ilvl="2" w:tplc="BFD28DF2">
      <w:numFmt w:val="decimal"/>
      <w:lvlText w:val=""/>
      <w:lvlJc w:val="left"/>
    </w:lvl>
    <w:lvl w:ilvl="3" w:tplc="FE5A889E">
      <w:numFmt w:val="decimal"/>
      <w:lvlText w:val=""/>
      <w:lvlJc w:val="left"/>
    </w:lvl>
    <w:lvl w:ilvl="4" w:tplc="837A4F6C">
      <w:numFmt w:val="decimal"/>
      <w:lvlText w:val=""/>
      <w:lvlJc w:val="left"/>
    </w:lvl>
    <w:lvl w:ilvl="5" w:tplc="7C30BC98">
      <w:numFmt w:val="decimal"/>
      <w:lvlText w:val=""/>
      <w:lvlJc w:val="left"/>
    </w:lvl>
    <w:lvl w:ilvl="6" w:tplc="BE2C39E2">
      <w:numFmt w:val="decimal"/>
      <w:lvlText w:val=""/>
      <w:lvlJc w:val="left"/>
    </w:lvl>
    <w:lvl w:ilvl="7" w:tplc="0B40E210">
      <w:numFmt w:val="decimal"/>
      <w:lvlText w:val=""/>
      <w:lvlJc w:val="left"/>
    </w:lvl>
    <w:lvl w:ilvl="8" w:tplc="2D9656AC">
      <w:numFmt w:val="decimal"/>
      <w:lvlText w:val=""/>
      <w:lvlJc w:val="left"/>
    </w:lvl>
  </w:abstractNum>
  <w:num w:numId="1" w16cid:durableId="843595706">
    <w:abstractNumId w:val="0"/>
  </w:num>
  <w:num w:numId="2" w16cid:durableId="174032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E6"/>
    <w:rsid w:val="00121446"/>
    <w:rsid w:val="00167D76"/>
    <w:rsid w:val="001D70FA"/>
    <w:rsid w:val="005E1071"/>
    <w:rsid w:val="0065611E"/>
    <w:rsid w:val="009B3DCA"/>
    <w:rsid w:val="00A41E21"/>
    <w:rsid w:val="00B54C37"/>
    <w:rsid w:val="00B6354C"/>
    <w:rsid w:val="00C16BE6"/>
    <w:rsid w:val="00CF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495ED9F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2025-08-15T15:18:00Z</dcterms:created>
  <dcterms:modified xsi:type="dcterms:W3CDTF">2026-01-14T12:07:00Z</dcterms:modified>
</cp:coreProperties>
</file>