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16B24" w14:textId="3D22ABD3" w:rsidR="008B1135" w:rsidRDefault="008B1135">
      <w:pPr>
        <w:spacing w:after="0" w:line="360" w:lineRule="auto"/>
      </w:pPr>
    </w:p>
    <w:p w14:paraId="1437F6F5" w14:textId="0DA14082" w:rsidR="008B1135" w:rsidRDefault="00000000">
      <w:pPr>
        <w:spacing w:before="157" w:after="157" w:line="270" w:lineRule="auto"/>
      </w:pPr>
      <w:r>
        <w:rPr>
          <w:rFonts w:ascii="inter" w:eastAsia="inter" w:hAnsi="inter" w:cs="inter"/>
          <w:b/>
          <w:color w:val="000000"/>
          <w:sz w:val="39"/>
        </w:rPr>
        <w:t xml:space="preserve">сценарий </w:t>
      </w:r>
      <w:r w:rsidR="00F93C72">
        <w:rPr>
          <w:rFonts w:ascii="inter" w:eastAsia="inter" w:hAnsi="inter" w:cs="inter"/>
          <w:b/>
          <w:color w:val="000000"/>
          <w:sz w:val="39"/>
        </w:rPr>
        <w:t xml:space="preserve">4. </w:t>
      </w:r>
      <w:r>
        <w:rPr>
          <w:rFonts w:ascii="inter" w:eastAsia="inter" w:hAnsi="inter" w:cs="inter"/>
          <w:b/>
          <w:color w:val="000000"/>
          <w:sz w:val="39"/>
        </w:rPr>
        <w:t>для тестирования кардиологов согласно клиническим рекомендациям у пациента с фп и заболевание почек. на каждый правильный и не правильный ответ да</w:t>
      </w:r>
      <w:r w:rsidR="00F93C72">
        <w:rPr>
          <w:rFonts w:ascii="inter" w:eastAsia="inter" w:hAnsi="inter" w:cs="inter"/>
          <w:b/>
          <w:color w:val="000000"/>
          <w:sz w:val="39"/>
        </w:rPr>
        <w:t>на</w:t>
      </w:r>
      <w:r>
        <w:rPr>
          <w:rFonts w:ascii="inter" w:eastAsia="inter" w:hAnsi="inter" w:cs="inter"/>
          <w:b/>
          <w:color w:val="000000"/>
          <w:sz w:val="39"/>
        </w:rPr>
        <w:t xml:space="preserve"> ссылк</w:t>
      </w:r>
      <w:r w:rsidR="00F93C72">
        <w:rPr>
          <w:rFonts w:ascii="inter" w:eastAsia="inter" w:hAnsi="inter" w:cs="inter"/>
          <w:b/>
          <w:color w:val="000000"/>
          <w:sz w:val="39"/>
        </w:rPr>
        <w:t>а</w:t>
      </w:r>
      <w:r>
        <w:rPr>
          <w:rFonts w:ascii="inter" w:eastAsia="inter" w:hAnsi="inter" w:cs="inter"/>
          <w:b/>
          <w:color w:val="000000"/>
          <w:sz w:val="39"/>
        </w:rPr>
        <w:t xml:space="preserve"> на </w:t>
      </w:r>
      <w:r w:rsidR="00F93C72">
        <w:rPr>
          <w:rFonts w:ascii="inter" w:eastAsia="inter" w:hAnsi="inter" w:cs="inter"/>
          <w:b/>
          <w:color w:val="000000"/>
          <w:sz w:val="39"/>
        </w:rPr>
        <w:t xml:space="preserve">клин. </w:t>
      </w:r>
      <w:r>
        <w:rPr>
          <w:rFonts w:ascii="inter" w:eastAsia="inter" w:hAnsi="inter" w:cs="inter"/>
          <w:b/>
          <w:color w:val="000000"/>
          <w:sz w:val="39"/>
        </w:rPr>
        <w:t xml:space="preserve">рекомендации с указанием раздела и страницы. </w:t>
      </w:r>
    </w:p>
    <w:p w14:paraId="0E48723E" w14:textId="77777777" w:rsidR="008B1135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Сценарий: Пациент с фибрилляцией предсердий и хронической болезнью почек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952"/>
        <w:gridCol w:w="7552"/>
      </w:tblGrid>
      <w:tr w:rsidR="00E656BC" w14:paraId="3C4A543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C537FC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Раздел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A58D0A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Описание и варианты ответов</w:t>
            </w:r>
          </w:p>
        </w:tc>
      </w:tr>
      <w:tr w:rsidR="00E656BC" w14:paraId="4F8E243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8D93E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Общая информация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46EE6A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Пациент: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мужчина, 78 лет.</w:t>
            </w:r>
          </w:p>
          <w:p w14:paraId="5D941658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Место действия: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амбулаторный прием у врача-кардиолога.</w:t>
            </w:r>
          </w:p>
          <w:p w14:paraId="152A214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Цели: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Проведите обследование, поставьте окончательный клинический диагноз и назначьте лечение пациенту с фибрилляцией предсердий (ФП) и сопутствующей патологией.</w:t>
            </w:r>
          </w:p>
          <w:p w14:paraId="0C4BB5E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Источник: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Клинические рекомендации "Фибрилляция и трепетание предсердий", 2020 г. </w:t>
            </w:r>
            <w:bookmarkStart w:id="0" w:name="fnref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0"/>
          </w:p>
        </w:tc>
      </w:tr>
      <w:tr w:rsidR="00E656BC" w14:paraId="58840FD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109F96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Жалобы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7C70126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Жалобы на почти постоянное ощущение нерегулярного сердцебиения, одышку при ходьбе на 200–300 метров, общую слабость, быструю утомляемость, отеки голеней к вечеру.</w:t>
            </w:r>
          </w:p>
        </w:tc>
      </w:tr>
      <w:tr w:rsidR="00E656BC" w14:paraId="576888D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02FF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заболевания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E1D5C3E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Считает себя больным около года, когда впервые стал замечать перебои в работе сердца. Последний месяц перебои стали постоянными, наросла одышка и слабость. За медицинской помощью не обращался, не лечился.</w:t>
            </w:r>
          </w:p>
        </w:tc>
      </w:tr>
      <w:tr w:rsidR="00E656BC" w14:paraId="4AD861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579E6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Анамнез жизни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6431D4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>Ишемическая болезнь сердца: постинфарктный кардиосклероз (перенес инфаркт миокарда 5 лет назад). Артериальная гипертензия в течение 15 лет, максимальные цифры АД 180/100 мм рт. ст., адаптирован к 140/90 мм рт. ст. Сахарный диабет 2 типа в течение 8 лет (на диетотерапии). Хроническая болезнь почек диагностирована 3 года назад. Аллергологический анамнез не отягощен. Не курит, алкоголь употребляет редко. Постоянно принимает: бисопролол 2,5 мг утром, аторвастатин 20 мг вечером. Антикоагулянты ранее не принимал.</w:t>
            </w:r>
          </w:p>
        </w:tc>
      </w:tr>
      <w:tr w:rsidR="00E656BC" w14:paraId="328AA1E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1374B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Объективное обследование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71C476" w14:textId="2749D2CC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Общее состояние средней тяжести. Сознание ясное. Положение активное. Рост 175 см, вес 92 кг (ИМТ 30,0 кг/м²). Кожные покровы обычной окраски и влажности. Выраженные отеки голеней и стоп. В легких дыхание везикулярное, ослаблено в нижних отделах, хрипов нет. ЧДД 18 в минуту. Тоны сердца аритмичные, приглушены. ЧСС </w:t>
            </w:r>
            <w:r w:rsidR="00F44A3E">
              <w:rPr>
                <w:rFonts w:ascii="inter" w:eastAsia="inter" w:hAnsi="inter" w:cs="inter"/>
                <w:color w:val="000000"/>
                <w:sz w:val="17"/>
              </w:rPr>
              <w:t>10</w:t>
            </w:r>
            <w:r>
              <w:rPr>
                <w:rFonts w:ascii="inter" w:eastAsia="inter" w:hAnsi="inter" w:cs="inter"/>
                <w:color w:val="000000"/>
                <w:sz w:val="17"/>
              </w:rPr>
              <w:t>5 уд/мин, пульс 105 уд/мин, аритмичный, дефицита пульса нет. АД 155/90 мм рт. ст. Живот при пальпации мягкий, безболезненный. Печень по краю реберной дуги.</w:t>
            </w:r>
          </w:p>
        </w:tc>
      </w:tr>
      <w:tr w:rsidR="00E656BC" w14:paraId="63BF00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712BBA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Предварительный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FA74322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Выберите наиболее вероятные диагнозы:</w:t>
            </w:r>
          </w:p>
          <w:p w14:paraId="1EC72A8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Фибрилляция предсердий, персистирующая форма. Тахисистолический вариант.</w:t>
            </w:r>
          </w:p>
          <w:p w14:paraId="59B8035E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1.5, стр. 15-16. Учитывая длительность аритмии более 7 дней (постоянно в течение месяца), форма классифицируется как персистирующая. </w:t>
            </w:r>
            <w:bookmarkStart w:id="1" w:name="fnref1: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"/>
          </w:p>
          <w:p w14:paraId="03660412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Хроническая сердечная недостаточность 2А стадии, II ФК.</w:t>
            </w:r>
          </w:p>
          <w:p w14:paraId="7BB6CE9F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1.2, стр. 14. СН является как причиной, так и следствием ФП. Клинические признаки (одышка, отеки) соответствуют данному диагнозу. </w:t>
            </w:r>
            <w:bookmarkStart w:id="2" w:name="fnref1: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"/>
          </w:p>
          <w:p w14:paraId="2F21B0C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Пароксизмальная наджелудочковая тахикардия.</w:t>
            </w:r>
          </w:p>
          <w:p w14:paraId="3A87CEA2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1.5, стр. 16. Пароксизмальная форма аритмии самостоятельно купируется, в данном случае аритмия постоянна в течение месяца. </w:t>
            </w:r>
            <w:bookmarkStart w:id="3" w:name="fnref1: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3"/>
          </w:p>
          <w:p w14:paraId="070EFEDD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Инфекционный эндокардит.</w:t>
            </w:r>
          </w:p>
          <w:p w14:paraId="655407E0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У пациента отсутствуют характерные признаки инфекционного процесса (лихорадка, ознобы) и новые шумы в сердце.</w:t>
            </w:r>
          </w:p>
        </w:tc>
      </w:tr>
      <w:tr w:rsidR="00E656BC" w14:paraId="3CDBAA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937B2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Назначение лабораторных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E89F6D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исследования необходимо назначить в первую очередь?</w:t>
            </w:r>
          </w:p>
          <w:p w14:paraId="5438CFA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Общий анализ крови (гемоглобин, эритроциты, тромбоциты).</w:t>
            </w:r>
          </w:p>
          <w:p w14:paraId="2283C05F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2.5.1, стр. 20. Исследование необходимо для исключения анемии и тромбоцитопении перед назначением антикоагулянтов. </w:t>
            </w:r>
            <w:bookmarkStart w:id="4" w:name="fnref1: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4"/>
          </w:p>
          <w:p w14:paraId="3377C08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Биохимический анализ крови: креатинин (с расчетом СКФ по формуле Кокрофта-Голта), АЛТ, АСТ, калий, глюкоза.</w:t>
            </w:r>
          </w:p>
          <w:p w14:paraId="1422920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2.5.1, стр. 21. Оценка функции почек и печени обязательна для безопасного подбора дозы антикоагулянтов и других препаратов. </w:t>
            </w:r>
            <w:bookmarkStart w:id="5" w:name="fnref1: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5"/>
          </w:p>
          <w:p w14:paraId="0D47ED5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Коагулограмма (МНО).</w:t>
            </w:r>
          </w:p>
          <w:p w14:paraId="1B69905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2.5.1, стр. 21. Необходимо определить исходный уровень МНО перед началом антикоагулянтной терапии. </w:t>
            </w:r>
            <w:bookmarkStart w:id="6" w:name="fnref1: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6"/>
          </w:p>
          <w:p w14:paraId="3BD3B3C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Определение уровня тропонина.</w:t>
            </w:r>
          </w:p>
          <w:p w14:paraId="43A5708D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3.3.11, стр. 75. Показано при подозрении на острый коронарный синдром, которого по клинике и анамнезу у пациента нет. </w:t>
            </w:r>
            <w:bookmarkStart w:id="7" w:name="fnref1: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7"/>
          </w:p>
        </w:tc>
      </w:tr>
      <w:tr w:rsidR="00E656BC" w14:paraId="7B67AB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18F82A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Назначение инструментальных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2F54BD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Какие инструментальные исследования необходимы для подтверждения диагноза и определения тактики?</w:t>
            </w:r>
          </w:p>
          <w:p w14:paraId="376C004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ЭКГ в 12 отведениях.</w:t>
            </w:r>
          </w:p>
          <w:p w14:paraId="455376F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2.4, стр. 19. "Золотой стандарт" для диагностики ФП. </w:t>
            </w:r>
            <w:bookmarkStart w:id="8" w:name="fnref1: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8"/>
          </w:p>
          <w:p w14:paraId="2E07AD0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Трансторакальная эхокардиография (ЭхоКГ).</w:t>
            </w:r>
          </w:p>
          <w:p w14:paraId="7785FACC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2.4, стр. 19. Рекомендована всем пациентам с ФП для оценки структуры и функции сердца, что критически важно для выбора антиаритмической терапии. </w:t>
            </w:r>
            <w:bookmarkStart w:id="9" w:name="fnref1: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9"/>
          </w:p>
          <w:p w14:paraId="69F35DB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Суточное мониторирование ЭКГ.</w:t>
            </w:r>
          </w:p>
          <w:p w14:paraId="385F2E3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2.4, стр. 19. Позволяет оценить среднюю ЧСС, адекватность контроля частоты и выявить значимые паузы. </w:t>
            </w:r>
            <w:bookmarkStart w:id="10" w:name="fnref1:1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0"/>
          </w:p>
          <w:p w14:paraId="367BD92E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Чреспищеводная ЭхоКГ.</w:t>
            </w:r>
          </w:p>
          <w:p w14:paraId="48478936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3.1.1.2, стр. 28. Проводится перед плановой кардиоверсией для исключения тромба в ушке левого предсердия, но на данном этапе не является обязательным. </w:t>
            </w:r>
            <w:bookmarkStart w:id="11" w:name="fnref1:1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1"/>
          </w:p>
        </w:tc>
      </w:tr>
      <w:tr w:rsidR="00E656BC" w14:paraId="4A056A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346AA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Оценка данных исследований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CED097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Лабораторные данные: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Гемоглобин 135 г/л, тромбоциты 220х10⁹/л. Креатинин 160 мкмоль/л. Расчетная СКФ по Кокрофту-Голту = 38 мл/мин. Калий 4,8 ммоль/л, АЛТ 25 Ед/л, АСТ 30 Ед/л. МНО 1,1.</w:t>
            </w:r>
          </w:p>
          <w:p w14:paraId="4C9046C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Инструментальные данные:</w:t>
            </w:r>
          </w:p>
          <w:p w14:paraId="206D4B08" w14:textId="77777777" w:rsidR="00E656BC" w:rsidRDefault="00000000" w:rsidP="00E656BC">
            <w:pPr>
              <w:spacing w:line="360" w:lineRule="auto"/>
              <w:rPr>
                <w:rFonts w:ascii="inter" w:eastAsia="inter" w:hAnsi="inter" w:cs="inter"/>
                <w:color w:val="000000"/>
                <w:sz w:val="17"/>
              </w:rPr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E656BC">
              <w:rPr>
                <w:rFonts w:ascii="inter" w:eastAsia="inter" w:hAnsi="inter" w:cs="inter"/>
                <w:color w:val="000000"/>
                <w:sz w:val="17"/>
              </w:rPr>
              <w:t xml:space="preserve">Фибрилляция предсердий со средней ЧСС 95 в мин. Одиночная желудочковая экстрасистола. Признаки гипертрофии левого желудочка с нарушением реполяризации (косонисходящая депрессия </w:t>
            </w:r>
            <w:r w:rsidR="00E656BC">
              <w:rPr>
                <w:rFonts w:ascii="inter" w:eastAsia="inter" w:hAnsi="inter" w:cs="inter"/>
                <w:color w:val="000000"/>
                <w:sz w:val="17"/>
                <w:lang w:val="en-US"/>
              </w:rPr>
              <w:t>ST</w:t>
            </w:r>
            <w:r w:rsidR="00E656BC" w:rsidRPr="009B3DCA"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="00E656BC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E656BC" w:rsidRPr="009B3DCA">
              <w:rPr>
                <w:rFonts w:ascii="inter" w:eastAsia="inter" w:hAnsi="inter" w:cs="inter"/>
                <w:color w:val="000000"/>
                <w:sz w:val="17"/>
              </w:rPr>
              <w:t>4-</w:t>
            </w:r>
            <w:r w:rsidR="00E656BC">
              <w:rPr>
                <w:rFonts w:ascii="inter" w:eastAsia="inter" w:hAnsi="inter" w:cs="inter"/>
                <w:color w:val="000000"/>
                <w:sz w:val="17"/>
                <w:lang w:val="en-US"/>
              </w:rPr>
              <w:t>V</w:t>
            </w:r>
            <w:r w:rsidR="00E656BC" w:rsidRPr="00121446">
              <w:rPr>
                <w:rFonts w:ascii="inter" w:eastAsia="inter" w:hAnsi="inter" w:cs="inter"/>
                <w:color w:val="000000"/>
                <w:sz w:val="17"/>
              </w:rPr>
              <w:t>6</w:t>
            </w:r>
            <w:r w:rsidR="00E656BC">
              <w:rPr>
                <w:rFonts w:ascii="inter" w:eastAsia="inter" w:hAnsi="inter" w:cs="inter"/>
                <w:color w:val="000000"/>
                <w:sz w:val="17"/>
              </w:rPr>
              <w:t>).</w:t>
            </w:r>
          </w:p>
          <w:p w14:paraId="3E2899C8" w14:textId="1BE43AE4" w:rsidR="00E656BC" w:rsidRDefault="00E656BC">
            <w:pPr>
              <w:spacing w:line="360" w:lineRule="auto"/>
            </w:pPr>
            <w:r>
              <w:rPr>
                <w:noProof/>
              </w:rPr>
              <w:drawing>
                <wp:inline distT="0" distB="0" distL="0" distR="0" wp14:anchorId="79284944" wp14:editId="4B666063">
                  <wp:extent cx="4369699" cy="2420471"/>
                  <wp:effectExtent l="0" t="0" r="0" b="5715"/>
                  <wp:docPr id="1959601385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9601385" name="Рисунок 1959601385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4900" cy="24455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0BBE8" w14:textId="3627B8A8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ЭхоКГ: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ФВ ЛЖ 52%. Гипертрофия миокарда ЛЖ (толщина межжелудочковой перегородки 1,</w:t>
            </w:r>
            <w:r w:rsidR="00E656BC">
              <w:rPr>
                <w:rFonts w:ascii="inter" w:eastAsia="inter" w:hAnsi="inter" w:cs="inter"/>
                <w:color w:val="000000"/>
                <w:sz w:val="17"/>
              </w:rPr>
              <w:t>7</w:t>
            </w:r>
            <w:r>
              <w:rPr>
                <w:rFonts w:ascii="inter" w:eastAsia="inter" w:hAnsi="inter" w:cs="inter"/>
                <w:color w:val="000000"/>
                <w:sz w:val="17"/>
              </w:rPr>
              <w:t>см). Расширение левого предсердия до 4,5 см.</w:t>
            </w:r>
          </w:p>
        </w:tc>
      </w:tr>
      <w:tr w:rsidR="00E656BC" w14:paraId="78F7C54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E4EAE8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Клинический диагноз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5149F1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Сформулируйте окончательный диагноз:</w:t>
            </w:r>
          </w:p>
          <w:p w14:paraId="032758C0" w14:textId="2358EA0B" w:rsidR="008B1135" w:rsidRPr="00F44A3E" w:rsidRDefault="00000000">
            <w:pPr>
              <w:spacing w:line="360" w:lineRule="auto"/>
              <w:rPr>
                <w:b/>
                <w:bCs/>
              </w:rPr>
            </w:pP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44A3E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Персистирующая фибрилляция предсердий, тахисистолический вариант. ИБС: постинфарктный кардиосклероз. Артериальная гипертензия 2 стадии, степень АГ 2, риск ССО 4 (очень высокий). Осложнения: ХСН 2А стадии, II ФК по NYHA. Сахарный диабет 2 типа. Хроническая болезнь почек С3б стадии (СКФ 38 мл/мин/1,73м²).</w:t>
            </w:r>
          </w:p>
          <w:p w14:paraId="17845DBF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разделы 1.4, 1.5, стр. 15-16. Диагноз полно отражает форму ФП, ее причину, осложнения и все значимые сопутствующие состояния, влияющие на лечение и прогноз. </w:t>
            </w:r>
            <w:bookmarkStart w:id="12" w:name="fnref1:1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2"/>
          </w:p>
          <w:p w14:paraId="4C0D315E" w14:textId="7E0A2999" w:rsidR="008B1135" w:rsidRPr="00F44A3E" w:rsidRDefault="00000000">
            <w:pPr>
              <w:spacing w:line="360" w:lineRule="auto"/>
              <w:rPr>
                <w:b/>
                <w:bCs/>
              </w:rPr>
            </w:pP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</w:t>
            </w:r>
            <w:r w:rsidRPr="00F44A3E">
              <w:rPr>
                <w:rFonts w:ascii="inter" w:eastAsia="inter" w:hAnsi="inter" w:cs="inter"/>
                <w:b/>
                <w:bCs/>
                <w:color w:val="000000"/>
                <w:sz w:val="17"/>
              </w:rPr>
              <w:t>Хроническая фибрилляция предсердий.</w:t>
            </w:r>
          </w:p>
          <w:p w14:paraId="312BD0D8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1.4, стр. 15. Код I48.2 (хроническая ФП) в современных рекомендациях заменен на термины "длительно персистирующая" и "постоянная", которые отражают выбранную стратегию лечения. </w:t>
            </w:r>
            <w:bookmarkStart w:id="13" w:name="fnref1:13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3"/>
          </w:p>
        </w:tc>
      </w:tr>
      <w:tr w:rsidR="00E656BC" w14:paraId="6DF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59558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Лечение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2339A4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Определите тактику лечения.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Риск инсульта по CHA₂DS₂-VASc = 6 баллов. Риск кровотечения по HAS-BLED = 3 балла.</w:t>
            </w:r>
          </w:p>
          <w:p w14:paraId="10B25509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Выбрать стратегию контроля частоты сердечных сокращений ("rate control").</w:t>
            </w:r>
          </w:p>
          <w:p w14:paraId="2474F970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3.1.2, стр. 40-41. У пожилого пациента со структурным заболеванием сердца, минимальными симптомами и длительной аритмией контроль ЧСС является предпочтительной и более безопасной стратегией, чем контроль ритма. </w:t>
            </w:r>
            <w:bookmarkStart w:id="14" w:name="fnref1:14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4"/>
          </w:p>
          <w:p w14:paraId="36920CE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 ривароксабан 15 мг 1 раз в сутки.</w:t>
            </w:r>
          </w:p>
          <w:p w14:paraId="1C053A15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3.1.1.1, стр. 25, таблица П10, стр. 161. При клиренсе креатинина по Кокрофту-Голту 15-49 мл/мин доза ривароксабана должна быть снижена до 15 мг/сут. </w:t>
            </w:r>
            <w:bookmarkStart w:id="15" w:name="fnref1:15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5"/>
          </w:p>
          <w:p w14:paraId="0F91F466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Увеличить дозу бисопролола до 5 мг/сут с последующей титрацией под контролем ЧСС.</w:t>
            </w:r>
          </w:p>
          <w:p w14:paraId="6D59AC7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3.1.2.1.2, стр. 42-43. Целевая ЧСС в покое &lt;110 уд/мин, у пациента ЧСС 105, что требует усиления ритм-урежающей терапии. Бета-блокаторы — препараты выбора при ИБС и ХСН. </w:t>
            </w:r>
            <w:bookmarkStart w:id="16" w:name="fnref1:16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6"/>
          </w:p>
          <w:p w14:paraId="24395E84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 апиксабан 2,5 мг 2 раза в сутки.</w:t>
            </w:r>
          </w:p>
          <w:p w14:paraId="47EBC458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3.1.1.1, стр. 25. Доза апиксабана снижается до 2,5 мг 2 р/д при наличии 2 из 3 критериев: возраст ≥80 лет, вес ≤60 кг, креатинин ≥133 мкмоль/л. У пациента только один критерий (креатинин), поэтому показана стандартная доза 5 мг 2 р/д. </w:t>
            </w:r>
            <w:bookmarkStart w:id="17" w:name="fnref1:17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7"/>
          </w:p>
          <w:p w14:paraId="3AD84E5E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5.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 соталол для контроля ритма.</w:t>
            </w:r>
          </w:p>
          <w:p w14:paraId="1743434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3.1.2.3.1, стр. 51. Соталол противопоказан при выраженной ХСН и тяжелой ХБП (выводится почками), а также опасен при гипертрофии ЛЖ из-за высокого риска аритмогенного действия. </w:t>
            </w:r>
            <w:bookmarkStart w:id="18" w:name="fnref1:18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8"/>
          </w:p>
          <w:p w14:paraId="0A79513E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6.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 ацетилсалициловую кислоту 100 мг/сут для профилактики тромбозов.</w:t>
            </w:r>
          </w:p>
          <w:p w14:paraId="6B2E6574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3.1.1.1, стр. 26. Антиагреганты не рекомендованы для профилактики инсульта при ФП, так как их эффективность значительно уступает антикоагулянтам. </w:t>
            </w:r>
            <w:bookmarkStart w:id="19" w:name="fnref1:19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19"/>
          </w:p>
        </w:tc>
      </w:tr>
      <w:tr w:rsidR="00E656BC" w14:paraId="58CBB42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EAF3F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Диспансеризация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9E23A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Составьте план диспансерного наблюдения.</w:t>
            </w:r>
          </w:p>
          <w:p w14:paraId="43CB4843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1.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Контроль креатинина и СКФ не реже 1 раза в 6 месяцев.</w:t>
            </w:r>
          </w:p>
          <w:p w14:paraId="68A016D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Приложение Г2, таблица П12, стр. 175. У пациента СКФ в диапазоне 30-60 мл/мин, что требует контроля функции почек каждые 6 месяцев. </w:t>
            </w:r>
            <w:bookmarkStart w:id="20" w:name="fnref1:20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0"/>
          </w:p>
          <w:p w14:paraId="60984004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2.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Обучение пациента и его родственников важности пожизненного и регулярного приема антикоагулянтов.</w:t>
            </w:r>
          </w:p>
          <w:p w14:paraId="4BDCCF7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Приложение В, стр. 163. Повышение приверженности к терапии является ключевым фактором успешного лечения и профилактики осложнений. </w:t>
            </w:r>
            <w:bookmarkStart w:id="21" w:name="fnref1:21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1"/>
          </w:p>
          <w:p w14:paraId="710FE54A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3.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Отмена антикоагулянта после успешного достижения целевой ЧСС.</w:t>
            </w:r>
          </w:p>
          <w:p w14:paraId="09DC38A7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Источник: КР "Фибрилляция и трепетание предсердий", 2020, раздел 3.1.1.1, стр. 23. Антикоагулянтная терапия при высоком риске по шкале CHA₂DS₂-VASc назначается пожизненно, независимо от контроля ЧСС или ритма. </w:t>
            </w:r>
            <w:bookmarkStart w:id="22" w:name="fnref1:22"/>
            <w:r>
              <w:fldChar w:fldCharType="begin"/>
            </w:r>
            <w:r>
              <w:instrText>HYPERLINK \l "fn1" \h</w:instrText>
            </w:r>
            <w:r>
              <w:fldChar w:fldCharType="separate"/>
            </w:r>
            <w:r>
              <w:rPr>
                <w:rFonts w:ascii="inter" w:eastAsia="inter" w:hAnsi="inter" w:cs="inter"/>
                <w:i/>
                <w:sz w:val="17"/>
                <w:u w:val="single"/>
                <w:vertAlign w:val="superscript"/>
              </w:rPr>
              <w:t>[1]</w:t>
            </w:r>
            <w:r>
              <w:fldChar w:fldCharType="end"/>
            </w:r>
            <w:bookmarkEnd w:id="22"/>
          </w:p>
          <w:p w14:paraId="60762061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color w:val="000000"/>
                <w:sz w:val="17"/>
              </w:rPr>
              <w:t xml:space="preserve">4. </w:t>
            </w:r>
            <w:r w:rsidRPr="00E656BC">
              <w:rPr>
                <w:rFonts w:ascii="inter" w:eastAsia="inter" w:hAnsi="inter" w:cs="inter"/>
                <w:b/>
                <w:color w:val="000000"/>
                <w:sz w:val="17"/>
                <w:highlight w:val="yellow"/>
              </w:rPr>
              <w:t>Неверно</w:t>
            </w:r>
            <w:r>
              <w:rPr>
                <w:rFonts w:ascii="inter" w:eastAsia="inter" w:hAnsi="inter" w:cs="inter"/>
                <w:b/>
                <w:color w:val="000000"/>
                <w:sz w:val="17"/>
              </w:rPr>
              <w:t>:</w:t>
            </w:r>
            <w:r>
              <w:rPr>
                <w:rFonts w:ascii="inter" w:eastAsia="inter" w:hAnsi="inter" w:cs="inter"/>
                <w:color w:val="000000"/>
                <w:sz w:val="17"/>
              </w:rPr>
              <w:t xml:space="preserve"> Назначить повторный визит через 1 год.</w:t>
            </w:r>
          </w:p>
          <w:p w14:paraId="2EC50E8B" w14:textId="77777777" w:rsidR="008B1135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Пациент старческого возраста с тяжелой сопутствующей патологией, которому впервые подобрана антикоагулянтная терапия и проводится титрация дозы бета-блокатора, нуждается в более частом наблюдении (например, повторный визит через 1-3 месяца для оценки эффективности и безопасности лечения).</w:t>
            </w:r>
          </w:p>
        </w:tc>
      </w:tr>
    </w:tbl>
    <w:p w14:paraId="19CB04DA" w14:textId="77777777" w:rsidR="008B1135" w:rsidRDefault="008B1135"/>
    <w:p w14:paraId="1C85DA04" w14:textId="77777777" w:rsidR="008B1135" w:rsidRDefault="00000000">
      <w:pPr>
        <w:spacing w:line="360" w:lineRule="auto"/>
        <w:jc w:val="center"/>
      </w:pPr>
      <w:r>
        <w:rPr>
          <w:rFonts w:ascii="inter" w:eastAsia="inter" w:hAnsi="inter" w:cs="inter"/>
          <w:color w:val="000000"/>
        </w:rPr>
        <w:t>⁂</w:t>
      </w:r>
    </w:p>
    <w:p w14:paraId="5609957B" w14:textId="77777777" w:rsidR="008B1135" w:rsidRDefault="00711E65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8676688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8B87B35" w14:textId="342809C2" w:rsidR="008B1135" w:rsidRDefault="00000000">
      <w:pPr>
        <w:numPr>
          <w:ilvl w:val="0"/>
          <w:numId w:val="2"/>
        </w:numPr>
        <w:spacing w:after="210" w:line="360" w:lineRule="auto"/>
      </w:pPr>
      <w:bookmarkStart w:id="23" w:name="fn1"/>
      <w:bookmarkEnd w:id="23"/>
      <w:r>
        <w:rPr>
          <w:rFonts w:ascii="inter" w:eastAsia="inter" w:hAnsi="inter" w:cs="inter"/>
          <w:color w:val="000000"/>
          <w:sz w:val="18"/>
        </w:rPr>
        <w:t xml:space="preserve">Fibrilliatsiia-predserdii-2020--1.pdf                       </w:t>
      </w:r>
    </w:p>
    <w:sectPr w:rsidR="008B1135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inter">
    <w:altName w:val="Cambria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96964"/>
    <w:multiLevelType w:val="hybridMultilevel"/>
    <w:tmpl w:val="DDD853BA"/>
    <w:lvl w:ilvl="0" w:tplc="83BE845A">
      <w:numFmt w:val="decimal"/>
      <w:lvlText w:val=""/>
      <w:lvlJc w:val="left"/>
    </w:lvl>
    <w:lvl w:ilvl="1" w:tplc="F9EC5A8C">
      <w:numFmt w:val="decimal"/>
      <w:lvlText w:val=""/>
      <w:lvlJc w:val="left"/>
    </w:lvl>
    <w:lvl w:ilvl="2" w:tplc="3DD47180">
      <w:numFmt w:val="decimal"/>
      <w:lvlText w:val=""/>
      <w:lvlJc w:val="left"/>
    </w:lvl>
    <w:lvl w:ilvl="3" w:tplc="9D5EA378">
      <w:numFmt w:val="decimal"/>
      <w:lvlText w:val=""/>
      <w:lvlJc w:val="left"/>
    </w:lvl>
    <w:lvl w:ilvl="4" w:tplc="CE86A97C">
      <w:numFmt w:val="decimal"/>
      <w:lvlText w:val=""/>
      <w:lvlJc w:val="left"/>
    </w:lvl>
    <w:lvl w:ilvl="5" w:tplc="897E2A82">
      <w:numFmt w:val="decimal"/>
      <w:lvlText w:val=""/>
      <w:lvlJc w:val="left"/>
    </w:lvl>
    <w:lvl w:ilvl="6" w:tplc="10CA6712">
      <w:numFmt w:val="decimal"/>
      <w:lvlText w:val=""/>
      <w:lvlJc w:val="left"/>
    </w:lvl>
    <w:lvl w:ilvl="7" w:tplc="A16C1BC4">
      <w:numFmt w:val="decimal"/>
      <w:lvlText w:val=""/>
      <w:lvlJc w:val="left"/>
    </w:lvl>
    <w:lvl w:ilvl="8" w:tplc="A28ECE46">
      <w:numFmt w:val="decimal"/>
      <w:lvlText w:val=""/>
      <w:lvlJc w:val="left"/>
    </w:lvl>
  </w:abstractNum>
  <w:abstractNum w:abstractNumId="1" w15:restartNumberingAfterBreak="0">
    <w:nsid w:val="1186082C"/>
    <w:multiLevelType w:val="hybridMultilevel"/>
    <w:tmpl w:val="619C30F0"/>
    <w:lvl w:ilvl="0" w:tplc="ED766C7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49E0B66">
      <w:numFmt w:val="decimal"/>
      <w:lvlText w:val=""/>
      <w:lvlJc w:val="left"/>
    </w:lvl>
    <w:lvl w:ilvl="2" w:tplc="CDE2D86E">
      <w:numFmt w:val="decimal"/>
      <w:lvlText w:val=""/>
      <w:lvlJc w:val="left"/>
    </w:lvl>
    <w:lvl w:ilvl="3" w:tplc="6E36849C">
      <w:numFmt w:val="decimal"/>
      <w:lvlText w:val=""/>
      <w:lvlJc w:val="left"/>
    </w:lvl>
    <w:lvl w:ilvl="4" w:tplc="C7DA8258">
      <w:numFmt w:val="decimal"/>
      <w:lvlText w:val=""/>
      <w:lvlJc w:val="left"/>
    </w:lvl>
    <w:lvl w:ilvl="5" w:tplc="10E6B44C">
      <w:numFmt w:val="decimal"/>
      <w:lvlText w:val=""/>
      <w:lvlJc w:val="left"/>
    </w:lvl>
    <w:lvl w:ilvl="6" w:tplc="45623AEC">
      <w:numFmt w:val="decimal"/>
      <w:lvlText w:val=""/>
      <w:lvlJc w:val="left"/>
    </w:lvl>
    <w:lvl w:ilvl="7" w:tplc="EC926366">
      <w:numFmt w:val="decimal"/>
      <w:lvlText w:val=""/>
      <w:lvlJc w:val="left"/>
    </w:lvl>
    <w:lvl w:ilvl="8" w:tplc="C916E686">
      <w:numFmt w:val="decimal"/>
      <w:lvlText w:val=""/>
      <w:lvlJc w:val="left"/>
    </w:lvl>
  </w:abstractNum>
  <w:num w:numId="1" w16cid:durableId="1016074349">
    <w:abstractNumId w:val="0"/>
  </w:num>
  <w:num w:numId="2" w16cid:durableId="2076657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135"/>
    <w:rsid w:val="00167D76"/>
    <w:rsid w:val="001D70FA"/>
    <w:rsid w:val="00711E65"/>
    <w:rsid w:val="00784E1C"/>
    <w:rsid w:val="008B1135"/>
    <w:rsid w:val="00E656BC"/>
    <w:rsid w:val="00F44A3E"/>
    <w:rsid w:val="00F93C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24809FD"/>
  <w15:docId w15:val="{6F6CA022-6FF6-164D-8E0C-5943E568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1584</Words>
  <Characters>9034</Characters>
  <Application>Microsoft Office Word</Application>
  <DocSecurity>0</DocSecurity>
  <Lines>75</Lines>
  <Paragraphs>21</Paragraphs>
  <ScaleCrop>false</ScaleCrop>
  <Company/>
  <LinksUpToDate>false</LinksUpToDate>
  <CharactersWithSpaces>10597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ВВ</cp:lastModifiedBy>
  <cp:revision>4</cp:revision>
  <dcterms:created xsi:type="dcterms:W3CDTF">2025-08-15T15:18:00Z</dcterms:created>
  <dcterms:modified xsi:type="dcterms:W3CDTF">2026-01-14T12:11:00Z</dcterms:modified>
</cp:coreProperties>
</file>