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3F1E" w14:textId="77777777" w:rsidR="00604FCF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Сценарий сфокусирован на ведении пациента-спортсмена с пароксизмальной формой фибрилляции предсердий, что представляет собой особый клинический случай, требующий отдельного подхода.</w:t>
      </w:r>
    </w:p>
    <w:p w14:paraId="42B64E9F" w14:textId="77777777" w:rsidR="00604FCF" w:rsidRDefault="00F946F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1C696B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F2F2BD" w14:textId="77777777" w:rsidR="00604FCF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Клинический сценарий: Пациент-спортсмен с пароксизмом фибрилляции предсердий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0"/>
        <w:gridCol w:w="7564"/>
      </w:tblGrid>
      <w:tr w:rsidR="00E47993" w14:paraId="7D981FF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739B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4E0163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Описание</w:t>
            </w:r>
          </w:p>
        </w:tc>
      </w:tr>
      <w:tr w:rsidR="00E47993" w14:paraId="0809B8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0FEB66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C694A1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Пациент, мужчина 38 лет, профессиональный велогонщик, обратился на амбулаторный приём к врачу-кардиологу.</w:t>
            </w:r>
          </w:p>
          <w:p w14:paraId="16409F89" w14:textId="77777777" w:rsidR="00604FCF" w:rsidRDefault="00604FCF"/>
          <w:p w14:paraId="4835035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поставьте диагноз, выберите оптимальную лечебную тактику.</w:t>
            </w:r>
          </w:p>
          <w:p w14:paraId="34CDFFC4" w14:textId="77777777" w:rsidR="00604FCF" w:rsidRDefault="00604FCF"/>
          <w:p w14:paraId="5DD9CFE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Фибрилляция и трепетание предсердий. Клинические рекомендации 2020. Общероссийская общественная организация «Российское кардиологическое общество».</w:t>
            </w:r>
          </w:p>
        </w:tc>
      </w:tr>
      <w:tr w:rsidR="00E47993" w14:paraId="43D116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C6E3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1D5EF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внезапно возникшее ощущение «перебоев в работе сердца», неритмичное сердцебиение, сопровождающееся одышкой при незначительной физической нагрузке, общей слабостью и чувством тревоги.</w:t>
            </w:r>
          </w:p>
        </w:tc>
      </w:tr>
      <w:tr w:rsidR="00E47993" w14:paraId="104B31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68685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77DC4D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больным около года, когда впервые возник подобный приступ после интенсивной велогонки, купировался самостоятельно в течение 2-3 часов. За последний год было 3-4 подобных эпизода, которые возникали после тренировок высокой интенсивности. Последний приступ начался накануне вечером, около 12 часов назад, после тренировки. За медицинской помощью ранее не обращался, антиаритмические препараты не принимал.</w:t>
            </w:r>
          </w:p>
        </w:tc>
      </w:tr>
      <w:tr w:rsidR="00E47993" w14:paraId="5BE6A9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1041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C6E90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Профессионально занимается велоспортом с 18 лет. Тренировки 5-6 раз в неделю. Хронические заболевания (артериальную гипертензию, сахарный диабет, ИБС) отрицает. Наследственность не отягощена. Аллергологический анамнез без особенностей. Вредные привычки: курение отрицает, алкоголь употребляет редко (1-2 бокала вина в неделю).</w:t>
            </w:r>
          </w:p>
        </w:tc>
      </w:tr>
      <w:tr w:rsidR="00E47993" w14:paraId="345B0B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BCC8B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E2CB15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Кожные покровы чистые, нормальной окраски и влажности. Рост 182 см, вес 78 кг. ИМТ 23.5 кг/м².</w:t>
            </w:r>
          </w:p>
          <w:p w14:paraId="5F95D59F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Дыхательная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дыхание везикулярное, хрипов нет. ЧДД 16 в мин.</w:t>
            </w:r>
          </w:p>
          <w:p w14:paraId="12310B4F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Сердечно-сосудистая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Тоны сердца аритмичные, приглушены. Шумов нет. ЧСС 98 уд/мин, пульс 88 уд/мин, аритмичный, дефицит пульса 10. АД 125/80 мм рт. ст.</w:t>
            </w:r>
          </w:p>
          <w:p w14:paraId="7E8B814E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Пищеварительная система: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живот мягкий, безболезненный. Печень и селезенка не увеличены.</w:t>
            </w:r>
          </w:p>
          <w:p w14:paraId="48EC8299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Периферические отеки: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отсутствуют.</w:t>
            </w:r>
          </w:p>
        </w:tc>
      </w:tr>
      <w:tr w:rsidR="00E47993" w14:paraId="7837DE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F0C10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DE7B95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вероятный предварительный диагноз:</w:t>
            </w:r>
          </w:p>
        </w:tc>
      </w:tr>
      <w:tr w:rsidR="00E47993" w14:paraId="5C65F9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6704CB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2FA72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Пароксизмальная фибрилляция предсердий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02C60FA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Клиническая картина (внезапное начало, неритмичное сердцебиение, дефицит пульса) и анамнез (повторяющиеся пароксизмы, связанные с нагрузкой) характерны для пароксизмальной ФП.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191408C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1.5, стр. 16; Раздел 1.6, стр. 16.</w:t>
            </w:r>
          </w:p>
        </w:tc>
      </w:tr>
      <w:tr w:rsidR="00E47993" w14:paraId="4B8639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273763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84A1E4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Пароксизмальное трепетание предсердий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14361E6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но требует дифференциальной диагностики. Трепетание предсердий может иметь схожую клинику, но часто характеризуется регулярным ритмом желудочков. Окончательный диагноз ставится по ЭКГ.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10F85A2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1.1, стр. 13.</w:t>
            </w:r>
          </w:p>
        </w:tc>
      </w:tr>
      <w:tr w:rsidR="00E47993" w14:paraId="18A31D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5885F7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184F51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Частая желудочковая экстрасистолия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1A79032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Хотя частая экстрасистолия может вызывать ощущение «перебоев», для нее не характерен стойкий аритмичный пульс с дефицитом, как при ФП.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453A9BB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2, стр. 17 (описание ЭКГ-признаков ФП).</w:t>
            </w:r>
          </w:p>
        </w:tc>
      </w:tr>
      <w:tr w:rsidR="00E47993" w14:paraId="33E183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EB625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BE8049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Синусовая тахикардия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24C3801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При синусовой тахикардии ритм сердца учащен, но остается регулярным, а пульс – ритмичным.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10D3CC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2, стр. 17 (ключевой признак ФП - нерегулярные интервалы RR).</w:t>
            </w:r>
          </w:p>
        </w:tc>
      </w:tr>
      <w:tr w:rsidR="00E47993" w14:paraId="5FB350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8DE4B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8C62B2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Какие лабораторные исследования необходимо назначить в первую очередь?</w:t>
            </w:r>
          </w:p>
        </w:tc>
      </w:tr>
      <w:tr w:rsidR="00E47993" w14:paraId="71D269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283394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4FBCD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Общий (клинический) анализ крови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00C3230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 для оценки уровня гемоглобина и исключения анемии перед возможным назначением антикоагулянтов.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EEE2A1C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2.5.1, стр. 20.</w:t>
            </w:r>
          </w:p>
        </w:tc>
      </w:tr>
      <w:tr w:rsidR="00E47993" w14:paraId="1B2F15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2F2AEA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8E0FC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Биохимический анализ крови (креатинин, АЛТ, АСТ, калий, натрий)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10004AF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Оценка функции почек и печени обязательна перед назначением антиаритмической и антикоагулянтной терапии.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C07AAD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2.5.1, стр. 21.</w:t>
            </w:r>
          </w:p>
        </w:tc>
      </w:tr>
      <w:tr w:rsidR="00E47993" w14:paraId="4AF0C7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BCFAF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6B6E34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Анализ крови на гормоны щитовидной железы (ТТГ, св. Т4)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76F7D82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Необходимо исключить тиреотоксикоз как одну из частых причин ФП.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B2EBC0A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3.3.14, стр. 77; Раздел 6.3, стр. 85.</w:t>
            </w:r>
          </w:p>
        </w:tc>
      </w:tr>
      <w:tr w:rsidR="00E47993" w14:paraId="0416FB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1C2A40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8DA454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Анализ крови на тропонин I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DE60482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пациента нет клинических признаков острого коронарного синдрома (отсутствие ангинозных болей), поэтому рутинное определение тропонина не показано.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C47A879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3.3.11, стр. 75.</w:t>
            </w:r>
          </w:p>
        </w:tc>
      </w:tr>
      <w:tr w:rsidR="00E47993" w14:paraId="217DC3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C09CA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0028BA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5. D-димер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8275711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Исследование не показано, так как отсутствуют клинические признаки тромбоэмболии легочной артерии.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843F0E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Назначение исследований должно быть обосновано клинической картиной.</w:t>
            </w:r>
          </w:p>
        </w:tc>
      </w:tr>
      <w:tr w:rsidR="00E47993" w14:paraId="5DACDE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25E85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810515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Какие инструментальные исследования необходимы для постановки диагноза и определения тактики?</w:t>
            </w:r>
          </w:p>
        </w:tc>
      </w:tr>
      <w:tr w:rsidR="00E47993" w14:paraId="64E6BC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884B1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2376A52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ЭКГ в 12 отведениях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2F69479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основной метод для документальной верификации диагноза ФП.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8AAA0C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2.4, стр. 19.</w:t>
            </w:r>
          </w:p>
        </w:tc>
      </w:tr>
      <w:tr w:rsidR="00E47993" w14:paraId="7D34DF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38151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14A6A5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Трансторакальная эхокардиография (ЭхоКГ)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E49AD7C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Обязательное исследование для оценки структуры и функции сердца, исключения органической патологии, что является ключевым фактором при выборе антиаритмического препарата.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B91389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2.4, стр. 19.</w:t>
            </w:r>
          </w:p>
        </w:tc>
      </w:tr>
      <w:tr w:rsidR="00E47993" w14:paraId="46DE06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6F5238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B22002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Холтеровское мониторирование ЭКГ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182DBB2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Позволит оценить общую продолжительность эпизодов ФП, среднюю ЧСС, наличие пауз и других нарушений ритма, а также связь симптомов с аритмией.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43315F4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2.4, стр. 19.</w:t>
            </w:r>
          </w:p>
        </w:tc>
      </w:tr>
      <w:tr w:rsidR="00E47993" w14:paraId="40CA72C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62781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165056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Чреспищеводная эхокардиография (ЧПЭхоКГ)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C14D03B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На данном этапе не является исследованием первой линии. ЧПЭхоКГ показана для исключения тромба в ушке левого предсердия перед экстренной/ранней кардиоверсией или катетерной аблацией.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5852ADE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3.1.1.2, стр. 28.</w:t>
            </w:r>
          </w:p>
        </w:tc>
      </w:tr>
      <w:tr w:rsidR="00E47993" w14:paraId="4B00D9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A1CD87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56855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5. Нагрузочное тестирование (тредмил-тест или велоэргометрия)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3D463784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416434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Рекомендовано спортсменам для выявления ишемии миокарда, индуцируемой нагрузкой, и оценки реакции ЧСС.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9CCA5C9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5, стр. 86 (диагностический поиск причины ФП).</w:t>
            </w:r>
          </w:p>
        </w:tc>
      </w:tr>
      <w:tr w:rsidR="00E47993" w14:paraId="267A70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B42A23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Оценка данных лабораторных и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C17BE5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5BAF1B5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Общий анализ крови: без патологии. Hb 155 г/л, Эр 5.1х10¹²/л, L 6.2х10⁹/л, Тр 250х10⁹/л.</w:t>
            </w:r>
          </w:p>
          <w:p w14:paraId="7FD78DC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Биохимический анализ: креатинин 90 мкмоль/л (СКФ по CKD-EPI 95 мл/мин/1.73м²), АЛТ 25 Ед/л, АСТ 28 Ед/л, калий 4.2 ммоль/л.</w:t>
            </w:r>
          </w:p>
          <w:p w14:paraId="0B673A7B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Гормоны: ТТГ 1.8 мМЕ/л (норма).</w:t>
            </w:r>
          </w:p>
          <w:p w14:paraId="123B27B9" w14:textId="77777777" w:rsidR="00604FCF" w:rsidRDefault="00604FCF"/>
          <w:p w14:paraId="026FB00A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1C11C38" w14:textId="51FB93DB" w:rsidR="00604FCF" w:rsidRDefault="00000000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</w:t>
            </w:r>
            <w:r w:rsidR="00E47993">
              <w:rPr>
                <w:rFonts w:ascii="inter" w:eastAsia="inter" w:hAnsi="inter" w:cs="inter"/>
                <w:color w:val="000000"/>
                <w:sz w:val="17"/>
              </w:rPr>
              <w:t>–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E47993">
              <w:rPr>
                <w:rFonts w:ascii="inter" w:eastAsia="inter" w:hAnsi="inter" w:cs="inter"/>
                <w:color w:val="000000"/>
                <w:sz w:val="17"/>
              </w:rPr>
              <w:t xml:space="preserve">Синусовая брадикардия с ЧСС 44 в 1 мин </w:t>
            </w:r>
          </w:p>
          <w:p w14:paraId="29E36FF9" w14:textId="441B0C97" w:rsidR="00416434" w:rsidRPr="00E47993" w:rsidRDefault="00E47993">
            <w:pPr>
              <w:spacing w:line="360" w:lineRule="auto"/>
            </w:pPr>
            <w:r w:rsidRPr="00E47993">
              <w:rPr>
                <w:noProof/>
              </w:rPr>
              <w:drawing>
                <wp:inline distT="0" distB="0" distL="0" distR="0" wp14:anchorId="5CBED3B2" wp14:editId="0A4E1CD4">
                  <wp:extent cx="4517548" cy="1775192"/>
                  <wp:effectExtent l="0" t="0" r="3810" b="3175"/>
                  <wp:docPr id="8931360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13607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900" cy="1792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6446BF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Полости сердца не расширены. Толщина стенок миокарда в норме. Клапаны интактны. Сократительная функция ЛЖ не нарушена, ФВ 65%. Зон нарушения локальной сократимости нет.</w:t>
            </w:r>
          </w:p>
          <w:p w14:paraId="79FAD2EB" w14:textId="60C49979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Холтер-ЭКГ (проведено после восстановления ритма):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большую часть времени синусовый ритм с ЧСС 50-130 в мин. Зарегистрирован</w:t>
            </w:r>
            <w:r w:rsidR="00E47993">
              <w:rPr>
                <w:rFonts w:ascii="inter" w:eastAsia="inter" w:hAnsi="inter" w:cs="inter"/>
                <w:color w:val="000000"/>
                <w:sz w:val="17"/>
              </w:rPr>
              <w:t>о 2 короткий (от 2 до 5 мин)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E47993">
              <w:rPr>
                <w:rFonts w:ascii="inter" w:eastAsia="inter" w:hAnsi="inter" w:cs="inter"/>
                <w:color w:val="000000"/>
                <w:sz w:val="17"/>
              </w:rPr>
              <w:t xml:space="preserve">пароксизма фибрилляции предсердий с ЧСС 112-134 в 1 мин. </w:t>
            </w:r>
          </w:p>
        </w:tc>
      </w:tr>
      <w:tr w:rsidR="00E47993" w14:paraId="0775D7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5D31E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C108A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Сформулируйте окончательный клинический диагноз:</w:t>
            </w:r>
          </w:p>
        </w:tc>
      </w:tr>
      <w:tr w:rsidR="00E47993" w14:paraId="514BE4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A1A42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FE2A6D" w14:textId="661BD6A0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Пароксизмальная фибрилляция предсердий. CHA₂DS₂-VASc 0 баллов. EHRA III.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2AE3FEA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Диагноз отражает форму аритмии (пароксизмальная), низкий риск тромбоэмболических осложнений (CHA₂DS₂-VASc=0: Возраст&lt;65, нет СН, АГ, СД, инсульта, сосудистых заболеваний, мужской пол) и выраженность симптомов, нарушающих повседневную (профессиональную) активность (EHRA III).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1D69CD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1.5, стр. 15; Приложение Г1, стр. 164; Приложение Г2, стр. 164.</w:t>
            </w:r>
          </w:p>
        </w:tc>
      </w:tr>
      <w:tr w:rsidR="00E47993" w14:paraId="2C08FC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79F3AF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867CA8" w14:textId="75D2111B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Персистирующая фибрилляция предсердий. CHA₂DS₂-VASc 1 балл. EHRA IIb.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E690B14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Форма аритмии пароксизмальная (приступы купируются самостоятельно). Риск по CHA₂DS₂-VASc 0 баллов. Класс по EHRA выше (III), так как симптомы нарушают его профессиональную деятельность.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EDAD421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1.5, стр. 16.</w:t>
            </w:r>
          </w:p>
        </w:tc>
      </w:tr>
      <w:tr w:rsidR="00E47993" w14:paraId="342701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53CF1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BFD140" w14:textId="69DD08AC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Пароксизмальная фибрилляция предсердий, ассоциированная с физической нагрузкой. CHA₂DS₂-VASc 0 баллов. EHRA III.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65CB6D13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более полное описание, которое также является правильным, уточняя триггер аритмии, что важно для спортсменов.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24503D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3.3.8, стр. 73.</w:t>
            </w:r>
          </w:p>
        </w:tc>
      </w:tr>
      <w:tr w:rsidR="00E47993" w14:paraId="54E210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21C7E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8BF27A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Выберите наиболее предпочтительную долгосрочную стратегию ведения данного пациента.</w:t>
            </w:r>
          </w:p>
        </w:tc>
      </w:tr>
      <w:tr w:rsidR="00E47993" w14:paraId="284476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B14A49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7BD711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Стратегия контроля ЧСС: назначение бета-адреноблокаторов на постоянной основе.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CF68D74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Для молодого, симптомного пациента, ведущего активный образ жизни (спортсмена), предпочтительна стратегия контроля ритма. Кроме того, бета-блокаторы могут снижать толерантность к физической нагрузке, что критично для спортсмена.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799D72A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3.1.2, стр. 41; Раздел 3.3.8, стр. 73.</w:t>
            </w:r>
          </w:p>
        </w:tc>
      </w:tr>
      <w:tr w:rsidR="00E47993" w14:paraId="64C40E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0E269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4AC61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Катетерная абляция устьев легочных вен.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99E2212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У симптомных пациентов с пароксизмальной ФП без значимой структурной патологии сердца катетерная абляция может рассматриваться как терапия первой линии в качестве альтернативы антиаритмическим препаратам. Это особенно актуально для спортсменов, желающих избежать побочных эффектов препаратов и вернуться к полноценным нагрузкам.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28DCB7C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3.2.1, стр. 56 (Рекомендация IIaB).</w:t>
            </w:r>
          </w:p>
        </w:tc>
      </w:tr>
      <w:tr w:rsidR="00E47993" w14:paraId="7538973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66A99C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8595EC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Постоянная антиаритмическая терапия амиодароном.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8D546D0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Амиодарон является высокоэффективным препаратом, но из-за профиля внесердечных побочных эффектов его не следует назначать в качестве первой линии пациентам без структурной патологии сердца.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90A8FBA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3.1.2.3.1, стр. 51 (Рекомендация IIaC).</w:t>
            </w:r>
          </w:p>
        </w:tc>
      </w:tr>
      <w:tr w:rsidR="00E47993" w14:paraId="540F07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D8E6B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1D6154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Стратегия «таблетка в кармане» (пропафенон или другой препарат IС класса).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2BD823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Это приемлемая альтернатива для пациентов с редкими, но симптомными пароксизмами ФП и без структурной патологии сердца. Позволяет избежать постоянного приема препаратов.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50FA3E2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3.1.2.2.1, стр. 47 (Рекомендация IIaB).</w:t>
            </w:r>
          </w:p>
        </w:tc>
      </w:tr>
      <w:tr w:rsidR="00E47993" w14:paraId="6C7B2D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E9A28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5CD2B0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5. Назначение прямых пероральных антикоагулянтов (ПОАК) на постоянной основе.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C0B81D4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Антикоагулянтная терапия не показана для долгосрочной профилактики инсульта у пациентов с риском по CHA₂DS₂-VASc 0 баллов.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0807E54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3.1.1.1, стр. 26 (Рекомендация IIIB).</w:t>
            </w:r>
          </w:p>
        </w:tc>
      </w:tr>
      <w:tr w:rsidR="00E47993" w14:paraId="56AA4C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F213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CA1592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Какой план диспансерного наблюдения будет оптимальным после выбора лечебной тактики?</w:t>
            </w:r>
          </w:p>
        </w:tc>
      </w:tr>
      <w:tr w:rsidR="00E47993" w14:paraId="5F6332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C12A9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74D5BB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1. Регулярная оценка симптомов и пересмотр риска по шкале CHA₂DS₂-VASc (не реже 1 раза в год).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83835D5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Динамическое наблюдение необходимо для своевременной коррекции терапии при изменении клинической картины или появлении новых факторов риска.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F76107C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5, стр. 83.</w:t>
            </w:r>
          </w:p>
        </w:tc>
      </w:tr>
      <w:tr w:rsidR="00E47993" w14:paraId="5AE342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D71DC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56067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2. Обсуждение с пациентом необходимости модификации тренировочного процесса (возможно, снижение интенсивности нагрузок).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B432C0C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Для спортсменов с ФП важна коррекция факторов риска, включая чрезмерные физические нагрузки.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2AFD84FA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3.3.8, стр. 73.</w:t>
            </w:r>
          </w:p>
        </w:tc>
      </w:tr>
      <w:tr w:rsidR="00E47993" w14:paraId="594392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03C8F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A00F84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3. После успешной катетерной абляции наблюдение не требуется, антикоагулянты можно отменить.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480256D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 Решение о продолжении/прекращении антикоагулянтной терапии после абляции основывается на риске по CHA₂DS₂-VASc, а не на успехе процедуры. Хотя у данного пациента риск 0, полное прекращение наблюдения является ошибкой.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5328A4B5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3.2.5, стр. 65 (Рекомендация IС).</w:t>
            </w:r>
          </w:p>
        </w:tc>
      </w:tr>
      <w:tr w:rsidR="00E47993" w14:paraId="4EF47B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AC895" w14:textId="77777777" w:rsidR="00604FCF" w:rsidRDefault="00604FCF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9DB958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4. Ежегодное проведение ЭхоКГ для контроля структурных и функциональных параметров сердца.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1CDC4E2C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. Рекомендуется для динамической оценки, так как длительные интенсивные нагрузки </w:t>
            </w:r>
            <w:r w:rsidRPr="00E47993">
              <w:rPr>
                <w:rFonts w:ascii="inter" w:eastAsia="inter" w:hAnsi="inter" w:cs="inter"/>
                <w:i/>
                <w:color w:val="000000"/>
                <w:sz w:val="17"/>
              </w:rPr>
              <w:t>могут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способствовать ремоделированию предсердий.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AAFA25C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КР Фибрилляция и трепетание предсердий, 2020, Раздел 5, стр. 84.</w:t>
            </w:r>
          </w:p>
        </w:tc>
      </w:tr>
      <w:tr w:rsidR="00E47993" w14:paraId="15863A2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5673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95555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Используемые клинические рекомендации: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0CF7B277" w14:textId="77777777" w:rsidR="00604FCF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Фибрилляция и трепетание предсердий. Клинические рекомендации 2020. Общероссийская общественная организация «Российское кардиологическое общество», «Всероссийское научное общество специалистов по клинической электрофизиологии, аритмологии и кардиостимуляции», «Ассоциация сердечно-сосудистых хирургов России». Одобрено Научно-практическим Советом Минздрава РФ 16.10.2020.</w:t>
            </w:r>
          </w:p>
        </w:tc>
      </w:tr>
    </w:tbl>
    <w:p w14:paraId="5970AE9F" w14:textId="77777777" w:rsidR="00604FCF" w:rsidRDefault="00604FCF"/>
    <w:p w14:paraId="52E7F129" w14:textId="77777777" w:rsidR="00604FCF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271BA536" w14:textId="77777777" w:rsidR="00604FCF" w:rsidRDefault="00F946F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48983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67B24F" w14:textId="4B3899ED" w:rsidR="00604FCF" w:rsidRDefault="00604FCF" w:rsidP="00C07207">
      <w:pPr>
        <w:spacing w:after="210" w:line="360" w:lineRule="auto"/>
        <w:ind w:left="540"/>
      </w:pPr>
      <w:bookmarkStart w:id="0" w:name="fn1"/>
      <w:bookmarkStart w:id="1" w:name="fn2"/>
      <w:bookmarkEnd w:id="0"/>
      <w:bookmarkEnd w:id="1"/>
    </w:p>
    <w:sectPr w:rsidR="00604FCF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93C48"/>
    <w:multiLevelType w:val="hybridMultilevel"/>
    <w:tmpl w:val="C3A8A048"/>
    <w:lvl w:ilvl="0" w:tplc="91807F0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A0E20A">
      <w:numFmt w:val="decimal"/>
      <w:lvlText w:val=""/>
      <w:lvlJc w:val="left"/>
    </w:lvl>
    <w:lvl w:ilvl="2" w:tplc="31F6090E">
      <w:numFmt w:val="decimal"/>
      <w:lvlText w:val=""/>
      <w:lvlJc w:val="left"/>
    </w:lvl>
    <w:lvl w:ilvl="3" w:tplc="C4F4452A">
      <w:numFmt w:val="decimal"/>
      <w:lvlText w:val=""/>
      <w:lvlJc w:val="left"/>
    </w:lvl>
    <w:lvl w:ilvl="4" w:tplc="D77897A0">
      <w:numFmt w:val="decimal"/>
      <w:lvlText w:val=""/>
      <w:lvlJc w:val="left"/>
    </w:lvl>
    <w:lvl w:ilvl="5" w:tplc="6344B312">
      <w:numFmt w:val="decimal"/>
      <w:lvlText w:val=""/>
      <w:lvlJc w:val="left"/>
    </w:lvl>
    <w:lvl w:ilvl="6" w:tplc="5F247B84">
      <w:numFmt w:val="decimal"/>
      <w:lvlText w:val=""/>
      <w:lvlJc w:val="left"/>
    </w:lvl>
    <w:lvl w:ilvl="7" w:tplc="EEE08D58">
      <w:numFmt w:val="decimal"/>
      <w:lvlText w:val=""/>
      <w:lvlJc w:val="left"/>
    </w:lvl>
    <w:lvl w:ilvl="8" w:tplc="DCDED9A0">
      <w:numFmt w:val="decimal"/>
      <w:lvlText w:val=""/>
      <w:lvlJc w:val="left"/>
    </w:lvl>
  </w:abstractNum>
  <w:abstractNum w:abstractNumId="1" w15:restartNumberingAfterBreak="0">
    <w:nsid w:val="76376BC2"/>
    <w:multiLevelType w:val="hybridMultilevel"/>
    <w:tmpl w:val="8DC2E1B2"/>
    <w:lvl w:ilvl="0" w:tplc="288A8848">
      <w:numFmt w:val="decimal"/>
      <w:lvlText w:val=""/>
      <w:lvlJc w:val="left"/>
    </w:lvl>
    <w:lvl w:ilvl="1" w:tplc="D058652A">
      <w:numFmt w:val="decimal"/>
      <w:lvlText w:val=""/>
      <w:lvlJc w:val="left"/>
    </w:lvl>
    <w:lvl w:ilvl="2" w:tplc="6FF8F25C">
      <w:numFmt w:val="decimal"/>
      <w:lvlText w:val=""/>
      <w:lvlJc w:val="left"/>
    </w:lvl>
    <w:lvl w:ilvl="3" w:tplc="78D030B2">
      <w:numFmt w:val="decimal"/>
      <w:lvlText w:val=""/>
      <w:lvlJc w:val="left"/>
    </w:lvl>
    <w:lvl w:ilvl="4" w:tplc="7AA4463E">
      <w:numFmt w:val="decimal"/>
      <w:lvlText w:val=""/>
      <w:lvlJc w:val="left"/>
    </w:lvl>
    <w:lvl w:ilvl="5" w:tplc="18D64804">
      <w:numFmt w:val="decimal"/>
      <w:lvlText w:val=""/>
      <w:lvlJc w:val="left"/>
    </w:lvl>
    <w:lvl w:ilvl="6" w:tplc="22A42F1A">
      <w:numFmt w:val="decimal"/>
      <w:lvlText w:val=""/>
      <w:lvlJc w:val="left"/>
    </w:lvl>
    <w:lvl w:ilvl="7" w:tplc="4AAE5768">
      <w:numFmt w:val="decimal"/>
      <w:lvlText w:val=""/>
      <w:lvlJc w:val="left"/>
    </w:lvl>
    <w:lvl w:ilvl="8" w:tplc="AEBE4362">
      <w:numFmt w:val="decimal"/>
      <w:lvlText w:val=""/>
      <w:lvlJc w:val="left"/>
    </w:lvl>
  </w:abstractNum>
  <w:num w:numId="1" w16cid:durableId="1841850978">
    <w:abstractNumId w:val="1"/>
  </w:num>
  <w:num w:numId="2" w16cid:durableId="198793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FCF"/>
    <w:rsid w:val="00167D76"/>
    <w:rsid w:val="001D70FA"/>
    <w:rsid w:val="00416434"/>
    <w:rsid w:val="00604FCF"/>
    <w:rsid w:val="00712B2B"/>
    <w:rsid w:val="00C07207"/>
    <w:rsid w:val="00E47993"/>
    <w:rsid w:val="00F9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8FDA107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1837</Words>
  <Characters>10472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3</cp:revision>
  <dcterms:created xsi:type="dcterms:W3CDTF">2025-08-19T08:55:00Z</dcterms:created>
  <dcterms:modified xsi:type="dcterms:W3CDTF">2026-01-14T12:26:00Z</dcterms:modified>
</cp:coreProperties>
</file>