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A822" w14:textId="56C4CD1A" w:rsidR="00F242E8" w:rsidRDefault="008420A7">
      <w:pPr>
        <w:spacing w:before="157" w:after="157" w:line="270" w:lineRule="auto"/>
      </w:pPr>
      <w:r>
        <w:rPr>
          <w:rFonts w:ascii="inter" w:eastAsia="inter" w:hAnsi="inter" w:cs="inter"/>
          <w:noProof/>
          <w:color w:val="000000"/>
        </w:rPr>
        <w:t>8</w:t>
      </w:r>
      <w:r w:rsidR="00F00F6C">
        <w:rPr>
          <w:rFonts w:ascii="inter" w:eastAsia="inter" w:hAnsi="inter" w:cs="inter"/>
          <w:noProof/>
          <w:color w:val="000000"/>
        </w:rPr>
        <w:t xml:space="preserve">. </w:t>
      </w:r>
      <w:r w:rsidR="00F00F6C">
        <w:rPr>
          <w:rFonts w:ascii="inter" w:eastAsia="inter" w:hAnsi="inter" w:cs="inter"/>
          <w:b/>
          <w:color w:val="000000"/>
          <w:sz w:val="39"/>
        </w:rPr>
        <w:t xml:space="preserve"> пациент c WPW с пароксизмальной ФП</w:t>
      </w:r>
    </w:p>
    <w:p w14:paraId="563F46FF" w14:textId="77777777" w:rsidR="00F242E8" w:rsidRDefault="00CB3F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6C61E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939A33" w14:textId="77777777" w:rsidR="00F242E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Сценарий: Пароксизм фибрилляции предсердий у пациента с синдромом WPW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0"/>
        <w:gridCol w:w="7574"/>
      </w:tblGrid>
      <w:tr w:rsidR="00F00F6C" w14:paraId="72B7EF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F702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CDF835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F00F6C" w14:paraId="4D3CE0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8ECD5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825769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мужчина, 50 лет, доставлен бригадой скорой помощи в приёмное отделение с жалобами на нерегулярное учащённое сердцебиение.</w:t>
            </w:r>
          </w:p>
          <w:p w14:paraId="16601B2F" w14:textId="77777777" w:rsidR="00F242E8" w:rsidRDefault="00F242E8"/>
          <w:p w14:paraId="7FFF8AD9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диагностику, определите лечебную тактику в неотложной ситуации и предложите план дальнейшего ведения пациента.</w:t>
            </w:r>
          </w:p>
          <w:p w14:paraId="097EB08E" w14:textId="77777777" w:rsidR="00F242E8" w:rsidRDefault="00F242E8"/>
          <w:p w14:paraId="5C47E58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"Фибрилляция и трепетание предсердий", 2020 г.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66206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C5087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5A23E8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возникшее ощущение хаотичного, учащённого сердцебиения, сопровождающееся выраженным головокружением, одышкой и чувством дискомфорта в груди.</w:t>
            </w:r>
          </w:p>
        </w:tc>
      </w:tr>
      <w:tr w:rsidR="00F00F6C" w14:paraId="02D86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0FBBF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26716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возникли остро около часа назад во время прогулки. Ранее подобных длительных приступов не отмечал, хотя иногда чувствовал кратковременные "перебои" в работе сердца, которые проходили самостоятельно. Никаких препаратов не принимал.</w:t>
            </w:r>
          </w:p>
        </w:tc>
      </w:tr>
      <w:tr w:rsidR="00F00F6C" w14:paraId="26EB40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0AC73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F4805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 20 лет установлен диагноз "феномен Вольфа-Паркинсона-Уайта (WPW)", однако до настоящего времени приступов тахикардии не было, специального лечения не получал. Других хронических заболеваний, включая ИБС и артериальную гипертензию, нет. Аллергологический анамнез не отягощён.</w:t>
            </w:r>
          </w:p>
        </w:tc>
      </w:tr>
      <w:tr w:rsidR="00F00F6C" w14:paraId="22B79A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7737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62148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средней тяжести. Пациент беспокоен. Кожные покровы бледные, влажные. Частота дыхательных движений 22 в минуту. В лёгких дыхание везикулярное, хрипов нет. Тоны сердца аритмичные, звучные, определяется дефицит пульса.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ЧСС около 180–220 уд/мин, артериальное давление 85/50 мм рт. ст.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Пульс на лучевых артериях аритмичный, слабого наполнения. Живот мягкий, безболезненный. Отёков нет.</w:t>
            </w:r>
          </w:p>
        </w:tc>
      </w:tr>
      <w:tr w:rsidR="00F00F6C" w14:paraId="0AAD47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6B32B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047947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 из списка.</w:t>
            </w:r>
          </w:p>
        </w:tc>
      </w:tr>
      <w:tr w:rsidR="00F00F6C" w14:paraId="56F008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18CC2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A1BAD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Пароксизм фибрилляции предсердий на фоне синдрома WPW.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B89346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(внезапное начало, аритмичное сердцебиение) и данные анамнеза (наличие WPW) указывают на развитие ФП с проведением импульсов по дополнительному пути, что объясняет высокую ЧСС и гемодинамическую нестабильность.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AB2D28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</w:rPr>
              <w:t>Источник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: "Фибрилляция и трепетание предсердий", 2020. Раздел 3.3.2,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5AA583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A0168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64D8D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Желудочковая тахикардия.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5DF4C5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ЭКГ при ФП на фоне WPW может имитировать ЖТ из-за широких и аберрантных комплексов QRS, абсолютно нерегулярный ритм является ключевым отличительным признаком, указывающим на наджелудочковую природу аритмии (ФП).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8104E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3.3.2,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E23C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C76BB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23A1D3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Пароксизмальная атриовентрикулярная узловая re-entry тахикардия (АВУРТ).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03F6D7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АВУРТ характерен регулярный ритм, тогда как у пациента наблюдается хаотичная, нерегулярная работа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21721F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1.1, стр. 13.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94B5E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31AB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649F97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необходимые инструментальные исследования на данном этапе.</w:t>
            </w:r>
          </w:p>
        </w:tc>
      </w:tr>
      <w:tr w:rsidR="00F00F6C" w14:paraId="1F45F5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74F56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B824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2A227DF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исследование является основным и обязательным для документации аритмии, оценки её характеристик (регулярность, морфология QRS, наличие признаков WPW) и дифференциальной диагностики.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E091C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4A2028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FB182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9BDB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Трансторакальная эхокардиография (ЭхоКГ).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DFE821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ЭхоКГ необходима для оценки структуры и функции сердца, выявления возможных органических причин аритмии и оценки систолической функции левого желудочка, что важно для дальнейшей тактики.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7D8FAF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0E5D04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34EA0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AC3B6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Чреспищеводная ЭхоКГ.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B707C45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 условиях экстренной ситуации с гемодинамической нестабильностью данное исследование не является первоочередным. Его проведение отсрочит необходимое лечение (кардиоверсию).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5C3B5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3.1.1.2, стр. 26-28.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F25B7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8F754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517E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Суточное мониторирование ЭКГ по Холтеру.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F1B55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исследование используется для выявления преходящих нарушений ритма или оценки контроля ЧСС при постоянной форме ФП, но не для диагностики в острой ситуации, когда аритмия уже зафиксирована.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DC73AC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668E5C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674ED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9C87E" w14:textId="01385804" w:rsidR="00F242E8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Данные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E32522">
              <w:rPr>
                <w:rFonts w:ascii="inter" w:eastAsia="inter" w:hAnsi="inter" w:cs="inter"/>
                <w:color w:val="000000"/>
                <w:sz w:val="17"/>
              </w:rPr>
              <w:t>Фибрилляция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 ЧСС ~210 в минуту. Комплексы QRS уширенные (0,14 с), полиморфные. В некоторых комплексах </w:t>
            </w:r>
            <w:r w:rsidR="00F00F6C">
              <w:rPr>
                <w:rFonts w:ascii="inter" w:eastAsia="inter" w:hAnsi="inter" w:cs="inter"/>
                <w:color w:val="000000"/>
                <w:sz w:val="17"/>
              </w:rPr>
              <w:t xml:space="preserve">(обведено квадратными скобками) </w:t>
            </w:r>
            <w:r>
              <w:rPr>
                <w:rFonts w:ascii="inter" w:eastAsia="inter" w:hAnsi="inter" w:cs="inter"/>
                <w:color w:val="000000"/>
                <w:sz w:val="17"/>
              </w:rPr>
              <w:t>прослеживается дельта-волна. Интервалы RR постоянно меняются.</w:t>
            </w:r>
          </w:p>
          <w:p w14:paraId="63C06277" w14:textId="15A99C11" w:rsidR="00F00F6C" w:rsidRDefault="00F00F6C">
            <w:pPr>
              <w:spacing w:line="360" w:lineRule="auto"/>
            </w:pPr>
            <w:r w:rsidRPr="00F00F6C">
              <w:rPr>
                <w:noProof/>
              </w:rPr>
              <w:drawing>
                <wp:inline distT="0" distB="0" distL="0" distR="0" wp14:anchorId="26D50820" wp14:editId="5E1DC28D">
                  <wp:extent cx="4545393" cy="2120113"/>
                  <wp:effectExtent l="0" t="0" r="1270" b="1270"/>
                  <wp:docPr id="3523458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45804" name=""/>
                          <pic:cNvPicPr/>
                        </pic:nvPicPr>
                        <pic:blipFill rotWithShape="1">
                          <a:blip r:embed="rId5"/>
                          <a:srcRect l="4528" r="8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015" cy="216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F6C" w14:paraId="5AE49C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3083B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0FB021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клинический диагноз.</w:t>
            </w:r>
          </w:p>
        </w:tc>
      </w:tr>
      <w:tr w:rsidR="00F00F6C" w14:paraId="54F8CF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ABB7E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777D0" w14:textId="53688042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Пароксизмальная фибрилляция предсердий на фоне манифестирующего синдрома Вольфа-Паркинсона-Уайта. Гемодинамическая нестабильность.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1C326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полностью отражает тип аритмии, её причину (WPW), форму (пароксизмальная) и остроту состояния (гемодинамическая нестабильность), что определяет неотложную лечебную тактику.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C5F94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Разделы 1.4, 1.5, 3.3.2, стр. 15,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212DE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15FB1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3101C9" w14:textId="6920F176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Желудочковая тахикардия.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81E58D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Несмотря на широкие комплексы QRS, абсолютно нерегулярный ритм и наличие дельта-волн указывают на ФП с антеградным проведением по дополнительному пути.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43A56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3.3.2,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63A58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95101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59211" w14:textId="7C6AADBA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Хроническая фибрилляция предсердий.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0017602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Анамнез указывает на впервые возникший длительный приступ, что соответствует пароксизмальной, а не хронической (постоянной) форме.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1910C8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1.5, стр. 15-16.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3A081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C9BE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55AB7D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лечебную тактику в данной ситуации.</w:t>
            </w:r>
          </w:p>
        </w:tc>
      </w:tr>
      <w:tr w:rsidR="00F00F6C" w14:paraId="38F9D8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A44FF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5A395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Немедленная электрическая кардиоверсия (ЭКВ).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FE166C5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метод выбора при ФП на фоне WPW, сопровождающейся нестабильной гемодинамикой (гипотония, признаки ишемии). Промедление опасно развитием фибрилляции желудочков.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5304CA9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3.1.2.2.2, стр. 48.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730E33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5794F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0BB60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Внутривенное введение Верапамила.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52D45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Абсолютно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опасно. Блокаторы кальциевых каналов (Верапамил, Дилтиазем) блокируют АВ-узел, что может усилить проведение по дополнительному пути, увеличить ЧСС и спровоцировать переход ФП в фибрилляцию желудочков.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A9682B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3.1.2.1.2, стр. 44.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329FAE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CEF7E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C5704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Внутривенное введение Дигоксина.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930EA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Абсолютно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опасно. Сердечные гликозиды, как и блокаторы кальциевых каналов, замедляют АВ-проведение и противопоказаны при ФП на фоне WPW из-за риска индукции фибрилляции желудочков.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A69B47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3.1.2.1.2, стр. 44.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D1A4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6A883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AB8A0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Внутривенное введение Прокаинамида.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DAD941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прокаинамид (блокатор натриевых каналов) может использоваться при гемодинамически стабильной ФП на фоне WPW, в условиях нестабильности методом выбора является ЭКВ. Применение медикаментозной терапии отсрочит необходимое лечение.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CCD5A9E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3.1.2.2.3, стр. 48, Таблица П15, стр. 177.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19A44B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5E5F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 и дальнейшее ведение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4699C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Предложите оптимальный план дальнейшего ведения пациента после стабилизации состояния.</w:t>
            </w:r>
          </w:p>
        </w:tc>
      </w:tr>
      <w:tr w:rsidR="00F00F6C" w14:paraId="447510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458A9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FA3AD1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Направление на электрофизиологическое исследование (ЭФИ) и катетерную абляцию дополнительного пути проведения (ДПП).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0AF1B39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Катетерная абляция является радикальным и наиболее эффективным методом лечения синдрома WPW, позволяющим полностью устранить субстрат аритмии и предотвратить жизнеугрожающие состояния в будущем.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B4357E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3.3.2,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072834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A22F4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1BC29B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Назначение постоянной терапии Амиодароном.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059798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Амиодарон может контролировать аритмию, он не устраняет причину и обладает множеством побочных эффектов при длительном приеме. Катетерная абляция является методом выбора.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954941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3.1.2.3.1, стр. 51.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6AA938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EA392" w14:textId="77777777" w:rsidR="00F242E8" w:rsidRDefault="00F242E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5DEA0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Назначение постоянной терапии бета-адреноблокаторами.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64A57A6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00F6C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Бета-адреноблокаторы замедляют проведение через АВ-узел и могут быть опасны при ФП у пациентов с WPW, особенно если свойства ДПП неизвестны. Они не являются методом профилактики у данной категории пациентов.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D1145A3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"Фибрилляция и трепетание предсердий", 2020. Раздел 3.3.2, стр. 68.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F00F6C" w14:paraId="6A67BA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8188E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D2F359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 для сценария: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CE8F9A" w14:textId="77777777" w:rsidR="00F242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"Фибрилляция и трепетание предсердий", 2020. Разработчик: Российское кардиологическое общество. Одобрено Научно-практическим советом Минздрава РФ 16.10.2020. </w:t>
            </w:r>
            <w:hyperlink w:anchor="fn1">
              <w:r w:rsidR="00F242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286A72C7" w14:textId="77777777" w:rsidR="00F242E8" w:rsidRDefault="00F242E8"/>
    <w:p w14:paraId="16C21190" w14:textId="77777777" w:rsidR="00F242E8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E288FEA" w14:textId="77777777" w:rsidR="00F242E8" w:rsidRDefault="00CB3F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6FA2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191DE4" w14:textId="46078C93" w:rsidR="00F242E8" w:rsidRPr="00F00F6C" w:rsidRDefault="00000000" w:rsidP="00F00F6C">
      <w:pPr>
        <w:numPr>
          <w:ilvl w:val="0"/>
          <w:numId w:val="2"/>
        </w:numPr>
        <w:spacing w:after="210" w:line="360" w:lineRule="auto"/>
      </w:pPr>
      <w:bookmarkStart w:id="0" w:name="fn1"/>
      <w:bookmarkEnd w:id="0"/>
      <w:r>
        <w:rPr>
          <w:rFonts w:ascii="inter" w:eastAsia="inter" w:hAnsi="inter" w:cs="inter"/>
          <w:color w:val="000000"/>
          <w:sz w:val="18"/>
        </w:rPr>
        <w:t xml:space="preserve">Fibrilliatsiia-predserdii-2020-1.pdf                </w:t>
      </w:r>
      <w:bookmarkStart w:id="1" w:name="fn2"/>
      <w:bookmarkEnd w:id="1"/>
    </w:p>
    <w:sectPr w:rsidR="00F242E8" w:rsidRPr="00F00F6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4012E"/>
    <w:multiLevelType w:val="hybridMultilevel"/>
    <w:tmpl w:val="E38E550A"/>
    <w:lvl w:ilvl="0" w:tplc="D736D2C0">
      <w:numFmt w:val="decimal"/>
      <w:lvlText w:val=""/>
      <w:lvlJc w:val="left"/>
    </w:lvl>
    <w:lvl w:ilvl="1" w:tplc="AC829E1A">
      <w:numFmt w:val="decimal"/>
      <w:lvlText w:val=""/>
      <w:lvlJc w:val="left"/>
    </w:lvl>
    <w:lvl w:ilvl="2" w:tplc="CE10D3A8">
      <w:numFmt w:val="decimal"/>
      <w:lvlText w:val=""/>
      <w:lvlJc w:val="left"/>
    </w:lvl>
    <w:lvl w:ilvl="3" w:tplc="6B3EC92C">
      <w:numFmt w:val="decimal"/>
      <w:lvlText w:val=""/>
      <w:lvlJc w:val="left"/>
    </w:lvl>
    <w:lvl w:ilvl="4" w:tplc="28C0D950">
      <w:numFmt w:val="decimal"/>
      <w:lvlText w:val=""/>
      <w:lvlJc w:val="left"/>
    </w:lvl>
    <w:lvl w:ilvl="5" w:tplc="4D564D56">
      <w:numFmt w:val="decimal"/>
      <w:lvlText w:val=""/>
      <w:lvlJc w:val="left"/>
    </w:lvl>
    <w:lvl w:ilvl="6" w:tplc="5184C730">
      <w:numFmt w:val="decimal"/>
      <w:lvlText w:val=""/>
      <w:lvlJc w:val="left"/>
    </w:lvl>
    <w:lvl w:ilvl="7" w:tplc="3A1A5F74">
      <w:numFmt w:val="decimal"/>
      <w:lvlText w:val=""/>
      <w:lvlJc w:val="left"/>
    </w:lvl>
    <w:lvl w:ilvl="8" w:tplc="398054FC">
      <w:numFmt w:val="decimal"/>
      <w:lvlText w:val=""/>
      <w:lvlJc w:val="left"/>
    </w:lvl>
  </w:abstractNum>
  <w:abstractNum w:abstractNumId="1" w15:restartNumberingAfterBreak="0">
    <w:nsid w:val="7051330C"/>
    <w:multiLevelType w:val="hybridMultilevel"/>
    <w:tmpl w:val="42E83CDE"/>
    <w:lvl w:ilvl="0" w:tplc="78BADA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285812">
      <w:numFmt w:val="decimal"/>
      <w:lvlText w:val=""/>
      <w:lvlJc w:val="left"/>
    </w:lvl>
    <w:lvl w:ilvl="2" w:tplc="0EF67058">
      <w:numFmt w:val="decimal"/>
      <w:lvlText w:val=""/>
      <w:lvlJc w:val="left"/>
    </w:lvl>
    <w:lvl w:ilvl="3" w:tplc="39EA2860">
      <w:numFmt w:val="decimal"/>
      <w:lvlText w:val=""/>
      <w:lvlJc w:val="left"/>
    </w:lvl>
    <w:lvl w:ilvl="4" w:tplc="3DC8B5C2">
      <w:numFmt w:val="decimal"/>
      <w:lvlText w:val=""/>
      <w:lvlJc w:val="left"/>
    </w:lvl>
    <w:lvl w:ilvl="5" w:tplc="602613D6">
      <w:numFmt w:val="decimal"/>
      <w:lvlText w:val=""/>
      <w:lvlJc w:val="left"/>
    </w:lvl>
    <w:lvl w:ilvl="6" w:tplc="43FEBF04">
      <w:numFmt w:val="decimal"/>
      <w:lvlText w:val=""/>
      <w:lvlJc w:val="left"/>
    </w:lvl>
    <w:lvl w:ilvl="7" w:tplc="A2B0B942">
      <w:numFmt w:val="decimal"/>
      <w:lvlText w:val=""/>
      <w:lvlJc w:val="left"/>
    </w:lvl>
    <w:lvl w:ilvl="8" w:tplc="B8F04E6C">
      <w:numFmt w:val="decimal"/>
      <w:lvlText w:val=""/>
      <w:lvlJc w:val="left"/>
    </w:lvl>
  </w:abstractNum>
  <w:num w:numId="1" w16cid:durableId="1091389601">
    <w:abstractNumId w:val="0"/>
  </w:num>
  <w:num w:numId="2" w16cid:durableId="113104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E8"/>
    <w:rsid w:val="00167D76"/>
    <w:rsid w:val="001D70FA"/>
    <w:rsid w:val="008420A7"/>
    <w:rsid w:val="009C6607"/>
    <w:rsid w:val="00CB3F48"/>
    <w:rsid w:val="00E32522"/>
    <w:rsid w:val="00F00F6C"/>
    <w:rsid w:val="00F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57C0597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2025-08-19T13:27:00Z</dcterms:created>
  <dcterms:modified xsi:type="dcterms:W3CDTF">2026-01-14T12:30:00Z</dcterms:modified>
</cp:coreProperties>
</file>