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371B" w14:textId="095E12BF" w:rsidR="00982D45" w:rsidRDefault="00982D45">
      <w:pPr>
        <w:spacing w:after="0" w:line="360" w:lineRule="auto"/>
      </w:pPr>
    </w:p>
    <w:p w14:paraId="5BCEAFA5" w14:textId="77777777" w:rsidR="00982D45" w:rsidRDefault="000C4039">
      <w:pPr>
        <w:spacing w:after="210" w:line="36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2.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1"/>
        <w:gridCol w:w="7583"/>
      </w:tblGrid>
      <w:tr w:rsidR="000C4039" w14:paraId="44966A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5268F" w14:textId="77777777" w:rsidR="00982D45" w:rsidRDefault="00982D45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14F8B7" w14:textId="77777777" w:rsidR="00982D45" w:rsidRDefault="00982D45"/>
        </w:tc>
      </w:tr>
      <w:tr w:rsidR="000C4039" w14:paraId="55A236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764CE6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70E9E0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60 лет.</w:t>
            </w:r>
          </w:p>
          <w:p w14:paraId="48C8F371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Доставлен бригадой скорой медицинской помощи (СМП) в приемное отделение кардиологического стационара.</w:t>
            </w:r>
          </w:p>
          <w:p w14:paraId="60301150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 и определите тактику лечения в соответствии с клиническими рекомендациями.</w:t>
            </w:r>
          </w:p>
          <w:p w14:paraId="2F150D0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«Хроническая сердечная недостаточность», Российское кардиологическое общество (РКО), 2024 г.</w:t>
            </w:r>
          </w:p>
        </w:tc>
      </w:tr>
      <w:tr w:rsidR="000C4039" w14:paraId="461512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D9EE8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65FFD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нарастающую одышку при незначительной физической нагрузке, отеки голеней, неритмичное сердцебиение и общую слабость. Симптомы значительно усилились за последнюю неделю.</w:t>
            </w:r>
          </w:p>
        </w:tc>
      </w:tr>
      <w:tr w:rsidR="000C4039" w14:paraId="6AD630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C187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2ACA7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 слов пациента, одышка и утомляемость беспокоят около года. В течение последней недели стал отмечать отеки ног и увеличение веса на 3-4 кг, одышка стала возникать в покое, особенно в горизонтальном положении. Обратился в поликлинику, откуда был направлен на госпитализацию.</w:t>
            </w:r>
          </w:p>
        </w:tc>
      </w:tr>
      <w:tr w:rsidR="000C4039" w14:paraId="1DFE6E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1A40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9ED68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 более 15 лет, гипотензивную терапию принимает нерегулярно. Сахарный диабет 2 типа, диетотерапия. Гиперхолестеринемия, статины не принимает.</w:t>
            </w:r>
          </w:p>
          <w:p w14:paraId="3F99743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 по 1 пачке сигарет в день более 30 лет.</w:t>
            </w:r>
          </w:p>
          <w:p w14:paraId="7D0BC355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отягощена.</w:t>
            </w:r>
          </w:p>
          <w:p w14:paraId="475188E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особенностей.</w:t>
            </w:r>
          </w:p>
        </w:tc>
      </w:tr>
      <w:tr w:rsidR="000C4039" w14:paraId="2B9BF7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4B0A7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59D9CD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56054CD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Ортопноэ.</w:t>
            </w:r>
          </w:p>
          <w:p w14:paraId="2462876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Акроцианоз.</w:t>
            </w:r>
          </w:p>
          <w:p w14:paraId="72F0B748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нижних отделах легких с обеих сторон выслушиваются влажные мелкопузырчатые хрипы. Частота дыхательных движений (ЧДД) — 22 в минуту. SpO2 — 93%.</w:t>
            </w:r>
          </w:p>
          <w:p w14:paraId="17B42897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аритмичные, глухие. Верхушечный толчок смещен влево. ЧСС — около 100-110 ударов в минуту. АД — 115/70 мм рт. ст. Набухание шейных вен.</w:t>
            </w:r>
          </w:p>
          <w:p w14:paraId="7585DDD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Плотные отеки голеней и стоп. Печень не увеличена.</w:t>
            </w:r>
          </w:p>
        </w:tc>
      </w:tr>
      <w:tr w:rsidR="000C4039" w14:paraId="030086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4926E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F2355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1FF43679" w14:textId="77777777" w:rsidR="00982D45" w:rsidRDefault="00982D45"/>
          <w:p w14:paraId="76DA95D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Острая декомпенсация хронической сердечной недостаточности на фоне тахисистолической формы фибрилляции предсердий.</w:t>
            </w:r>
          </w:p>
          <w:p w14:paraId="3AB29FA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(нарастание одышки, ортопноэ, отеки, влажные хрипы) у пациента с факторами риска и впервые выявленной аритмией характерна для острой декомпенсации ХСН, триггером которой стала фибрилляция предсердий с высокой частотой желудочковых сокращений.</w:t>
            </w:r>
          </w:p>
          <w:p w14:paraId="71A2FDE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7.3, стр. 94; раздел 3.1.6.1, стр. 49.</w:t>
            </w:r>
          </w:p>
          <w:p w14:paraId="14F3E1B6" w14:textId="77777777" w:rsidR="00982D45" w:rsidRDefault="00982D45"/>
          <w:p w14:paraId="6B26C59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Двусторонняя пневмония.</w:t>
            </w:r>
          </w:p>
          <w:p w14:paraId="49769D06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Несмотря на наличие хрипов в легких, у пациента нет лихорадки. Наличие ортопноэ, набухания шейных вен и периферических отеков указывает на кардиальную причину одышки (застой по обоим кругам кровообращения), а не на инфекционный процесс.</w:t>
            </w:r>
          </w:p>
          <w:p w14:paraId="6672DC5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1.5, стр. 19-20.</w:t>
            </w:r>
          </w:p>
          <w:p w14:paraId="5F7C351F" w14:textId="77777777" w:rsidR="00982D45" w:rsidRDefault="00982D45"/>
          <w:p w14:paraId="3B0ECA97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Острый коронарный синдром.</w:t>
            </w:r>
          </w:p>
          <w:p w14:paraId="417EE50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отсутствует типичный ангинозный болевой синдром. Ведущим в клинической картине является синдром острой сердечной недостаточности на фоне аритмии. Однако ОКС необходимо исключить с помощью ЭКГ и анализа на тропонины.</w:t>
            </w:r>
          </w:p>
          <w:p w14:paraId="3C247BF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97.</w:t>
            </w:r>
          </w:p>
          <w:p w14:paraId="5EB5287E" w14:textId="77777777" w:rsidR="00982D45" w:rsidRDefault="00982D45"/>
          <w:p w14:paraId="66DF6195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Хроническая обструктивная болезнь легких, обострение.</w:t>
            </w:r>
          </w:p>
          <w:p w14:paraId="22AF7BF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пациент является курильщиком, наличие выраженных признаков застоя по большому кругу кровообращения (отеки, набухшие вены) и кардиомегалии делает диагноз ХСН более вероятным.</w:t>
            </w:r>
          </w:p>
          <w:p w14:paraId="4134006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3.1.7, стр. 58.</w:t>
            </w:r>
          </w:p>
        </w:tc>
      </w:tr>
      <w:tr w:rsidR="000C4039" w14:paraId="765E86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F307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3363EF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2B8D875D" w14:textId="77777777" w:rsidR="00982D45" w:rsidRDefault="00982D45"/>
          <w:p w14:paraId="6F8ED5D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натрийуретического пептида (BNP или NT-proBNP).</w:t>
            </w:r>
          </w:p>
          <w:p w14:paraId="55ADD93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Ключевой маркер для подтверждения диагноза сердечной недостаточности, оценки ее тяжести и прогноза.</w:t>
            </w:r>
          </w:p>
          <w:p w14:paraId="097378F0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23.</w:t>
            </w:r>
          </w:p>
          <w:p w14:paraId="2DF3541F" w14:textId="77777777" w:rsidR="00982D45" w:rsidRDefault="00982D45"/>
          <w:p w14:paraId="6AEF074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Общий и биохимический анализы крови (креатинин с рСКФ, калий, натрий, печеночные ферменты, глюкоза).</w:t>
            </w:r>
          </w:p>
          <w:p w14:paraId="6EF7C6DF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оценить наличие анемии, функцию почек и печени, электролитные нарушения, что критически важно для безопасного назначения терапии.</w:t>
            </w:r>
          </w:p>
          <w:p w14:paraId="3295582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2.3, стр. 23-24.</w:t>
            </w:r>
          </w:p>
          <w:p w14:paraId="2664268A" w14:textId="77777777" w:rsidR="00982D45" w:rsidRDefault="00982D45"/>
          <w:p w14:paraId="6B274975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Исследование уровня тропонина I или T.</w:t>
            </w:r>
          </w:p>
          <w:p w14:paraId="5D39F8B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исключения острого инфаркта миокарда как причины аритмии и декомпенсации.</w:t>
            </w:r>
          </w:p>
          <w:p w14:paraId="1407CEB7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7.3.2, стр. 97.</w:t>
            </w:r>
          </w:p>
          <w:p w14:paraId="0A91FF7A" w14:textId="77777777" w:rsidR="00982D45" w:rsidRDefault="00982D45"/>
          <w:p w14:paraId="1E029941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 (АЧТВ, МНО).</w:t>
            </w:r>
          </w:p>
          <w:p w14:paraId="64BE135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Необходима для оценки исходного гемостаза перед обязательным назначением антикоагулянтов для профилактики тромбоэмболических осложнений.</w:t>
            </w:r>
          </w:p>
          <w:p w14:paraId="6AF93B2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3.1.6.1, стр. 49-50.</w:t>
            </w:r>
          </w:p>
        </w:tc>
      </w:tr>
      <w:tr w:rsidR="000C4039" w14:paraId="2B374D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DC5F1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7F70D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выполнить?</w:t>
            </w:r>
          </w:p>
          <w:p w14:paraId="37199E9C" w14:textId="77777777" w:rsidR="00982D45" w:rsidRDefault="00982D45"/>
          <w:p w14:paraId="6CE695B8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</w:p>
          <w:p w14:paraId="650AA5E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Основной метод для подтверждения диагноза фибрилляции предсердий, оценки частоты желудочковых сокращений, выявления блокады ножки пучка Гиса и исключения острой ишемии.</w:t>
            </w:r>
          </w:p>
          <w:p w14:paraId="648ABA7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2.4.1, стр. 25.</w:t>
            </w:r>
          </w:p>
          <w:p w14:paraId="392098F6" w14:textId="77777777" w:rsidR="00982D45" w:rsidRDefault="00982D45"/>
          <w:p w14:paraId="3298E98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(ЭхоКГ).</w:t>
            </w:r>
          </w:p>
          <w:p w14:paraId="2F431FC1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ЭхоКГ необходима для оценки фракции выброса ЛЖ, размеров камер сердца, выявления структурной патологии. Это ключевое исследование для определения типа ХСН и дальнейшей тактики.</w:t>
            </w:r>
          </w:p>
          <w:p w14:paraId="3D260EC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2.4.2, стр. 25.</w:t>
            </w:r>
          </w:p>
          <w:p w14:paraId="78128039" w14:textId="77777777" w:rsidR="00982D45" w:rsidRDefault="00982D45"/>
          <w:p w14:paraId="78CDFBE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Рентгенография органов грудной клетки.</w:t>
            </w:r>
          </w:p>
          <w:p w14:paraId="1146784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Позволяет объективно оценить наличие венозного застоя в легких, кардиомегалию и исключить сопутствующую патологию легких.</w:t>
            </w:r>
          </w:p>
          <w:p w14:paraId="578048A1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2.4.3, стр. 29.</w:t>
            </w:r>
          </w:p>
          <w:p w14:paraId="6F6F1B5B" w14:textId="77777777" w:rsidR="00982D45" w:rsidRDefault="00982D45"/>
          <w:p w14:paraId="14796E38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Коронарография.</w:t>
            </w:r>
          </w:p>
          <w:p w14:paraId="11860D1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Коронарография не является исследованием первой линии при декомпенсации ХСН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</w:rPr>
              <w:t>без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признаков ОКС. Вопрос о ее проведении решается после стабилизации состояния для уточнения этиологии ХСН.</w:t>
            </w:r>
          </w:p>
          <w:p w14:paraId="5EB04441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2.4.4, стр. 30.</w:t>
            </w:r>
          </w:p>
        </w:tc>
      </w:tr>
      <w:tr w:rsidR="000C4039" w14:paraId="29CA01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26EAE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CAB7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6B5A5B5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NT-proBNP: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6200 пг/мл (норма &lt; 125 пг/мл).</w:t>
            </w:r>
          </w:p>
          <w:p w14:paraId="046F8036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0.07 нг/мл (норма &lt; 0.04 нг/мл).</w:t>
            </w:r>
          </w:p>
          <w:p w14:paraId="44965C7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135 мкмоль/л (рСКФ 55 мл/мин/1.73 м²), калий 4.0 ммоль/л.</w:t>
            </w:r>
          </w:p>
          <w:p w14:paraId="57668B63" w14:textId="77777777" w:rsidR="00982D45" w:rsidRDefault="00982D45"/>
          <w:p w14:paraId="13FE315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19B8221D" w14:textId="77777777" w:rsidR="00982D45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предсердий, средняя ЧСС 100 в минуту. Одиночная желудочковая экстрасистола. Широкие комплексы QRS (160 мс) с морфологией блокады левой ножки пучка Гиса (БЛНПГ). </w:t>
            </w:r>
          </w:p>
          <w:p w14:paraId="480172E6" w14:textId="77777777" w:rsidR="000C4039" w:rsidRDefault="000C4039">
            <w:pPr>
              <w:spacing w:line="360" w:lineRule="auto"/>
            </w:pPr>
            <w:r w:rsidRPr="000C4039">
              <w:rPr>
                <w:noProof/>
              </w:rPr>
              <w:drawing>
                <wp:inline distT="0" distB="0" distL="0" distR="0" wp14:anchorId="5809F6BE" wp14:editId="114BB2BD">
                  <wp:extent cx="4605835" cy="2247706"/>
                  <wp:effectExtent l="0" t="0" r="4445" b="635"/>
                  <wp:docPr id="1576858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8587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723" cy="227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1BC8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Дилатация левого желудочка (КДР 6,5 см). Фракция выброса (ФВ) ЛЖ — 32% (сниженная). Дилатация левого предсердия. Умеренная митральная регургитация.</w:t>
            </w:r>
          </w:p>
        </w:tc>
      </w:tr>
      <w:tr w:rsidR="000C4039" w14:paraId="697555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5749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75F7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3996F795" w14:textId="77777777" w:rsidR="00982D45" w:rsidRDefault="00982D45"/>
          <w:p w14:paraId="6FA4D961" w14:textId="7C2AC024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Дилатационная кардиомиопатия? ИБС? Осложнения: Хроническая сердечная недостаточность со сниженной фракцией выброса (ХСНнФВ), стадия 2, ФК IV. Пароксизм фибрилляции предсердий, тахисистолическая форма. Полная блокада левой ножки пучка Гиса. Острая декомпенсация сердечной недостаточности.</w:t>
            </w:r>
          </w:p>
          <w:p w14:paraId="22345EA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отражает наличие тяжелой ХСН со сниженной ФВ и ее острое ухудшение на фоне тахиаритмии. Этиология (ИБС или кардиомиопатия) требует уточнения, что отражено в диагнозе. БЛНПГ является важным компонентом диагноза, влияющим на дальнейшую тактику (возможность СРТ).</w:t>
            </w:r>
          </w:p>
          <w:p w14:paraId="4E208656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18-19; раздел 3.3.1, стр. 70.</w:t>
            </w:r>
          </w:p>
          <w:p w14:paraId="50CE5E45" w14:textId="77777777" w:rsidR="00982D45" w:rsidRDefault="00982D45"/>
          <w:p w14:paraId="18034C6B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Фибрилляция предсердий, постоянная форма. ХСН 1 стадии, ФК II.</w:t>
            </w:r>
          </w:p>
          <w:p w14:paraId="5197660F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Эпизод аритмии возник впервые, поэтому форма не может быть расценена как постоянная. Тяжесть клинических проявлений (симптомы в покое) соответствует IV, а не II ФК, а наличие декомпенсации — 2-й стадии ХСН.</w:t>
            </w:r>
          </w:p>
          <w:p w14:paraId="38332857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16-18.</w:t>
            </w:r>
          </w:p>
          <w:p w14:paraId="1D9F51BF" w14:textId="77777777" w:rsidR="00982D45" w:rsidRDefault="00982D45"/>
          <w:p w14:paraId="040FD27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Хроническая сердечная недостаточность с сохраненной фракцией выброса.</w:t>
            </w:r>
          </w:p>
          <w:p w14:paraId="6E0932E2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 данным ЭхоКГ фракция выброса составляет 32%, что соответствует ХСН со сниженной ФВ (≤40%), а не с сохраненной.</w:t>
            </w:r>
          </w:p>
          <w:p w14:paraId="71F1EF46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1.4, стр. 16.</w:t>
            </w:r>
          </w:p>
        </w:tc>
      </w:tr>
      <w:tr w:rsidR="000C4039" w14:paraId="20F441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5609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66FB29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 в острой ситуации:</w:t>
            </w:r>
          </w:p>
          <w:p w14:paraId="54BE353A" w14:textId="77777777" w:rsidR="00982D45" w:rsidRDefault="00982D45"/>
          <w:p w14:paraId="200CCA0A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Тактика контроля частоты. Внутривенное введение петлевых диуретиков (фуросемид) для устранения застоя. Назначение бета-блокаторов (с осторожностью) или дигоксина для урежения ЧСС. Начать антикоагулянтную терапию (прямой оральный антикоагулянт).</w:t>
            </w:r>
          </w:p>
          <w:p w14:paraId="25AF9E8D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гемодинамически стабильного пациента первоочередной задачей является устранение застоя (диуретики) и урежение ЧСС. Бета-блокаторы являются препаратами выбора, но при выраженной декомпенсации их начинают с малых доз или используют дигоксин. Антикоагулянтная терапия обязательна.</w:t>
            </w:r>
          </w:p>
          <w:p w14:paraId="5D62548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7.4, стр. 100; раздел 3.1.6.3, стр. 51.</w:t>
            </w:r>
          </w:p>
          <w:p w14:paraId="20526A16" w14:textId="77777777" w:rsidR="00982D45" w:rsidRDefault="00982D45"/>
          <w:p w14:paraId="14BC7EB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Немедленная электрическая кардиоверсия (ЭИТ).</w:t>
            </w:r>
          </w:p>
          <w:p w14:paraId="1E554F0E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ЭИТ показана при гемодинамической нестабильности. У данного пациента АД стабильно. Проведение ЭИТ без подготовки сопряжено с высоким риском тромбоэмболических осложнений.</w:t>
            </w:r>
          </w:p>
          <w:p w14:paraId="49C67E23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3.1.6.3, стр. 51.</w:t>
            </w:r>
          </w:p>
          <w:p w14:paraId="5EE1EB71" w14:textId="77777777" w:rsidR="00982D45" w:rsidRDefault="00982D45"/>
          <w:p w14:paraId="1C12290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Имплантация кардиовертера-дефибриллятора (ИКД) для лечения БЛНПГ.</w:t>
            </w:r>
          </w:p>
          <w:p w14:paraId="7FBC458E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ИКД не лечит БЛНПГ. Вопрос об имплантации устройства (ИКД или СРТ-Д) для профилактики внезапной смерти и улучшения прогноза решается после стабилизации состояния и оптимизации медикаментозной терапии, а не в острой фазе.</w:t>
            </w:r>
          </w:p>
          <w:p w14:paraId="74C5673F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3.3.2, стр. 72.</w:t>
            </w:r>
          </w:p>
          <w:p w14:paraId="5416D618" w14:textId="77777777" w:rsidR="00982D45" w:rsidRDefault="00982D45"/>
          <w:p w14:paraId="0B203A74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Назначить аспирин, верапамил и увеличить дозу эналаприла.</w:t>
            </w:r>
          </w:p>
          <w:p w14:paraId="6E6F1E8C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01B60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Аспирин неэффективен для профилактики инсульта при ФП. Верапамил противопоказан при ХСН со сниженной ФВ из-за отрицательного инотропного эффекта. Лечение требует комплексного подхода, а не только коррекции АД.</w:t>
            </w:r>
          </w:p>
          <w:p w14:paraId="37F3D9B8" w14:textId="77777777" w:rsidR="00982D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Хроническая сердечная недостаточность, 2024, раздел 3.1.3.1, стр. 45; раздел 3.1.4, стр. 46.</w:t>
            </w:r>
          </w:p>
        </w:tc>
      </w:tr>
      <w:tr w:rsidR="000C4039" w14:paraId="1BC64B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76905" w14:textId="2709549C" w:rsidR="00982D45" w:rsidRDefault="00286C53">
            <w:pPr>
              <w:spacing w:line="360" w:lineRule="auto"/>
            </w:pPr>
            <w: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Style w:val="NormalGrid"/>
              <w:tblW w:w="0" w:type="auto"/>
              <w:jc w:val="center"/>
              <w:tblCellSpacing w:w="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ook w:val="04A0" w:firstRow="1" w:lastRow="0" w:firstColumn="1" w:lastColumn="0" w:noHBand="0" w:noVBand="1"/>
            </w:tblPr>
            <w:tblGrid>
              <w:gridCol w:w="7252"/>
            </w:tblGrid>
            <w:tr w:rsidR="00286C53" w14:paraId="37BE27CF" w14:textId="77777777" w:rsidTr="00B63EEC">
              <w:trPr>
                <w:cantSplit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1" w:space="0" w:color="000000"/>
                    <w:bottom w:val="single" w:sz="1" w:space="0" w:color="000000"/>
                  </w:tcBorders>
                </w:tcPr>
                <w:p w14:paraId="2BFFBAEA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Составьте план дальнейшего диспансерного наблюдения для данного пациента:</w:t>
                  </w:r>
                </w:p>
                <w:p w14:paraId="0CB27F79" w14:textId="77777777" w:rsidR="00286C53" w:rsidRDefault="00286C53" w:rsidP="00286C53"/>
                <w:p w14:paraId="36D0FDFA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1. Плановый визит через 1 месяц для контроля переносимости новой терапии (АД, ЧСС, креатинин, калий). Далее — визиты не реже 2 раз в год. Ежегодная вакцинация от гриппа. Обучение пациента самоконтролю (взвешивание, контроль АД, ЧСС). Плановая ЭхоКГ через 1 год.</w:t>
                  </w:r>
                </w:p>
                <w:p w14:paraId="0AAC426E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План включает контроль безопасности после изменения терапии, регулярное наблюдение, профилактические мероприятия и обучение пациента, что соответствует современным подходам к ведению пациентов с ХСН.</w:t>
                  </w:r>
                </w:p>
                <w:p w14:paraId="0D7D2AF0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5, стр. 84-86; раздел 7.1, стр. 91</w:t>
                  </w:r>
                  <w:bookmarkStart w:id="0" w:name="fnref1:16"/>
                  <w:r>
                    <w:fldChar w:fldCharType="begin"/>
                  </w:r>
                  <w:r>
                    <w:instrText>HYPERLINK \l "fn1" \h</w:instrText>
                  </w:r>
                  <w:r>
                    <w:fldChar w:fldCharType="separate"/>
                  </w:r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[1]</w:t>
                  </w:r>
                  <w:r>
                    <w:fldChar w:fldCharType="end"/>
                  </w:r>
                  <w:bookmarkEnd w:id="0"/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  <w:p w14:paraId="15E4FCC7" w14:textId="77777777" w:rsidR="00286C53" w:rsidRDefault="00286C53" w:rsidP="00286C53"/>
                <w:p w14:paraId="0CC20BA1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2. Наблюдение не требуется, так как состояние стабильное. Явка при ухудшении.</w:t>
                  </w:r>
                </w:p>
                <w:p w14:paraId="0B44CED9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Неверно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Пациенты с ХСН нуждаются в пожизненном диспансерном наблюдении для контроля состояния и своевременной коррекции терапии, даже при стабильном течении.</w:t>
                  </w:r>
                </w:p>
                <w:p w14:paraId="69C00683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5, стр. 84</w:t>
                  </w:r>
                  <w:bookmarkStart w:id="1" w:name="fnref1:17"/>
                  <w:r>
                    <w:fldChar w:fldCharType="begin"/>
                  </w:r>
                  <w:r>
                    <w:instrText>HYPERLINK \l "fn1" \h</w:instrText>
                  </w:r>
                  <w:r>
                    <w:fldChar w:fldCharType="separate"/>
                  </w:r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[1]</w:t>
                  </w:r>
                  <w:r>
                    <w:fldChar w:fldCharType="end"/>
                  </w:r>
                  <w:bookmarkEnd w:id="1"/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  <w:p w14:paraId="06C6CBD3" w14:textId="77777777" w:rsidR="00286C53" w:rsidRDefault="00286C53" w:rsidP="00286C53"/>
                <w:p w14:paraId="13861746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3. Ежемесячный контроль уровня тропонина и NT-proBNP.</w:t>
                  </w:r>
                </w:p>
                <w:p w14:paraId="1A37A60F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Неверно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Рутинное ежемесячное определение этих маркеров у стабильного амбулаторного пациента нецелесообразно и не рекомендовано. NT-proBNP может контролироваться реже, а тропонин — только при подозрении на ОКС.</w:t>
                  </w:r>
                </w:p>
                <w:p w14:paraId="63EA47D1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2.3, стр. 23; раздел 7.3.2, стр. 97</w:t>
                  </w:r>
                  <w:bookmarkStart w:id="2" w:name="fnref1:18"/>
                  <w:r>
                    <w:fldChar w:fldCharType="begin"/>
                  </w:r>
                  <w:r>
                    <w:instrText>HYPERLINK \l "fn1" \h</w:instrText>
                  </w:r>
                  <w:r>
                    <w:fldChar w:fldCharType="separate"/>
                  </w:r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[1]</w:t>
                  </w:r>
                  <w:r>
                    <w:fldChar w:fldCharType="end"/>
                  </w:r>
                  <w:bookmarkEnd w:id="2"/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  <w:p w14:paraId="2DD209DF" w14:textId="77777777" w:rsidR="00286C53" w:rsidRDefault="00286C53" w:rsidP="00286C53"/>
                <w:p w14:paraId="6DD18DE5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b/>
                      <w:color w:val="000000"/>
                      <w:sz w:val="17"/>
                    </w:rPr>
                    <w:t>4. Ежегодная коронарография для контроля состояния стента.</w:t>
                  </w:r>
                </w:p>
                <w:p w14:paraId="1B3D7AE3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 w:rsidRPr="00BD0F41">
                    <w:rPr>
                      <w:rFonts w:ascii="inter" w:eastAsia="inter" w:hAnsi="inter" w:cs="inter"/>
                      <w:i/>
                      <w:color w:val="000000"/>
                      <w:sz w:val="17"/>
                      <w:highlight w:val="yellow"/>
                    </w:rPr>
                    <w:t>Неверно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. При отсутствии симптомов стенокардии или признаков ишемии миокарда рутинная инвазивная коронарография не показана.</w:t>
                  </w:r>
                </w:p>
                <w:p w14:paraId="20A01123" w14:textId="77777777" w:rsidR="00286C53" w:rsidRDefault="00286C53" w:rsidP="00286C53">
                  <w:pPr>
                    <w:spacing w:line="360" w:lineRule="auto"/>
                  </w:pPr>
                  <w:r>
                    <w:rPr>
                      <w:rFonts w:ascii="inter" w:eastAsia="inter" w:hAnsi="inter" w:cs="inter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Источник: КР Хроническая сердечная недостаточность, 2024, раздел 2.4.4, стр. 30</w:t>
                  </w:r>
                  <w:bookmarkStart w:id="3" w:name="fnref1:19"/>
                  <w:r>
                    <w:fldChar w:fldCharType="begin"/>
                  </w:r>
                  <w:r>
                    <w:instrText>HYPERLINK \l "fn1" \h</w:instrText>
                  </w:r>
                  <w:r>
                    <w:fldChar w:fldCharType="separate"/>
                  </w:r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[1]</w:t>
                  </w:r>
                  <w:r>
                    <w:fldChar w:fldCharType="end"/>
                  </w:r>
                  <w:bookmarkEnd w:id="3"/>
                  <w:r>
                    <w:rPr>
                      <w:rFonts w:ascii="inter" w:eastAsia="inter" w:hAnsi="inter" w:cs="inter"/>
                      <w:i/>
                      <w:sz w:val="17"/>
                      <w:u w:val="single"/>
                      <w:vertAlign w:val="superscript"/>
                    </w:rPr>
                    <w:t>.</w:t>
                  </w:r>
                </w:p>
              </w:tc>
            </w:tr>
          </w:tbl>
          <w:p w14:paraId="11B65ACE" w14:textId="3279924C" w:rsidR="00982D45" w:rsidRDefault="00982D45">
            <w:pPr>
              <w:spacing w:line="360" w:lineRule="auto"/>
            </w:pPr>
          </w:p>
        </w:tc>
      </w:tr>
    </w:tbl>
    <w:p w14:paraId="2145B694" w14:textId="77777777" w:rsidR="00982D45" w:rsidRDefault="00982D45"/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5"/>
        <w:gridCol w:w="7219"/>
      </w:tblGrid>
      <w:tr w:rsidR="00286C53" w14:paraId="3B42D368" w14:textId="77777777" w:rsidTr="00683FE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F74E6" w14:textId="77777777" w:rsidR="00286C53" w:rsidRDefault="00286C53" w:rsidP="00683FE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F48D39" w14:textId="77777777" w:rsidR="00286C53" w:rsidRDefault="00286C53" w:rsidP="00683FE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60DA8C3C" w14:textId="77777777" w:rsidR="00286C53" w:rsidRDefault="00286C53" w:rsidP="00683FE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Хроническая сердечная недостаточность. Клинические рекомендации 2024. Российское кардиологическое общество (РКО). Утверждены Минздравом РФ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0A7A216A" w14:textId="77777777" w:rsidR="00982D45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0A60843A" w14:textId="77777777" w:rsidR="00982D45" w:rsidRDefault="00CB4A1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61CE4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BD58B2" w14:textId="77C6C539" w:rsidR="00982D45" w:rsidRDefault="00000000">
      <w:pPr>
        <w:numPr>
          <w:ilvl w:val="0"/>
          <w:numId w:val="2"/>
        </w:numPr>
        <w:spacing w:after="210" w:line="360" w:lineRule="auto"/>
      </w:pPr>
      <w:bookmarkStart w:id="4" w:name="fn1"/>
      <w:bookmarkEnd w:id="4"/>
      <w:r>
        <w:rPr>
          <w:rFonts w:ascii="inter" w:eastAsia="inter" w:hAnsi="inter" w:cs="inter"/>
          <w:color w:val="000000"/>
          <w:sz w:val="18"/>
        </w:rPr>
        <w:t xml:space="preserve">Khronicheskaia-serdechnaia-nedostatochnost-2024-1.pdf </w:t>
      </w:r>
    </w:p>
    <w:sectPr w:rsidR="00982D4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101"/>
    <w:multiLevelType w:val="hybridMultilevel"/>
    <w:tmpl w:val="9BD85124"/>
    <w:lvl w:ilvl="0" w:tplc="29E6D75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F0326A">
      <w:numFmt w:val="decimal"/>
      <w:lvlText w:val=""/>
      <w:lvlJc w:val="left"/>
    </w:lvl>
    <w:lvl w:ilvl="2" w:tplc="5DF60A8A">
      <w:numFmt w:val="decimal"/>
      <w:lvlText w:val=""/>
      <w:lvlJc w:val="left"/>
    </w:lvl>
    <w:lvl w:ilvl="3" w:tplc="D252134C">
      <w:numFmt w:val="decimal"/>
      <w:lvlText w:val=""/>
      <w:lvlJc w:val="left"/>
    </w:lvl>
    <w:lvl w:ilvl="4" w:tplc="9CF29B0E">
      <w:numFmt w:val="decimal"/>
      <w:lvlText w:val=""/>
      <w:lvlJc w:val="left"/>
    </w:lvl>
    <w:lvl w:ilvl="5" w:tplc="DFFECF5E">
      <w:numFmt w:val="decimal"/>
      <w:lvlText w:val=""/>
      <w:lvlJc w:val="left"/>
    </w:lvl>
    <w:lvl w:ilvl="6" w:tplc="C5722856">
      <w:numFmt w:val="decimal"/>
      <w:lvlText w:val=""/>
      <w:lvlJc w:val="left"/>
    </w:lvl>
    <w:lvl w:ilvl="7" w:tplc="E1BA1FC4">
      <w:numFmt w:val="decimal"/>
      <w:lvlText w:val=""/>
      <w:lvlJc w:val="left"/>
    </w:lvl>
    <w:lvl w:ilvl="8" w:tplc="0E181726">
      <w:numFmt w:val="decimal"/>
      <w:lvlText w:val=""/>
      <w:lvlJc w:val="left"/>
    </w:lvl>
  </w:abstractNum>
  <w:abstractNum w:abstractNumId="1" w15:restartNumberingAfterBreak="0">
    <w:nsid w:val="5924080F"/>
    <w:multiLevelType w:val="hybridMultilevel"/>
    <w:tmpl w:val="AE6E53C2"/>
    <w:lvl w:ilvl="0" w:tplc="C4E2894A">
      <w:numFmt w:val="decimal"/>
      <w:lvlText w:val=""/>
      <w:lvlJc w:val="left"/>
    </w:lvl>
    <w:lvl w:ilvl="1" w:tplc="4260E03E">
      <w:numFmt w:val="decimal"/>
      <w:lvlText w:val=""/>
      <w:lvlJc w:val="left"/>
    </w:lvl>
    <w:lvl w:ilvl="2" w:tplc="4EB015B6">
      <w:numFmt w:val="decimal"/>
      <w:lvlText w:val=""/>
      <w:lvlJc w:val="left"/>
    </w:lvl>
    <w:lvl w:ilvl="3" w:tplc="6846B268">
      <w:numFmt w:val="decimal"/>
      <w:lvlText w:val=""/>
      <w:lvlJc w:val="left"/>
    </w:lvl>
    <w:lvl w:ilvl="4" w:tplc="F1E0C25C">
      <w:numFmt w:val="decimal"/>
      <w:lvlText w:val=""/>
      <w:lvlJc w:val="left"/>
    </w:lvl>
    <w:lvl w:ilvl="5" w:tplc="EC26234A">
      <w:numFmt w:val="decimal"/>
      <w:lvlText w:val=""/>
      <w:lvlJc w:val="left"/>
    </w:lvl>
    <w:lvl w:ilvl="6" w:tplc="12DE4212">
      <w:numFmt w:val="decimal"/>
      <w:lvlText w:val=""/>
      <w:lvlJc w:val="left"/>
    </w:lvl>
    <w:lvl w:ilvl="7" w:tplc="3FA4EAB2">
      <w:numFmt w:val="decimal"/>
      <w:lvlText w:val=""/>
      <w:lvlJc w:val="left"/>
    </w:lvl>
    <w:lvl w:ilvl="8" w:tplc="68AC16A6">
      <w:numFmt w:val="decimal"/>
      <w:lvlText w:val=""/>
      <w:lvlJc w:val="left"/>
    </w:lvl>
  </w:abstractNum>
  <w:num w:numId="1" w16cid:durableId="645937303">
    <w:abstractNumId w:val="1"/>
  </w:num>
  <w:num w:numId="2" w16cid:durableId="180631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D45"/>
    <w:rsid w:val="000C4039"/>
    <w:rsid w:val="00167D76"/>
    <w:rsid w:val="001D70FA"/>
    <w:rsid w:val="00286C53"/>
    <w:rsid w:val="005B0C2C"/>
    <w:rsid w:val="006641C6"/>
    <w:rsid w:val="00680DF6"/>
    <w:rsid w:val="00722BE6"/>
    <w:rsid w:val="00820E28"/>
    <w:rsid w:val="00982D45"/>
    <w:rsid w:val="00CB4A1B"/>
    <w:rsid w:val="00E01B60"/>
    <w:rsid w:val="00FB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FC2A1B0"/>
  <w15:docId w15:val="{B5FBE760-5190-C444-99A9-1E901927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2025-08-13T20:26:00Z</dcterms:created>
  <dcterms:modified xsi:type="dcterms:W3CDTF">2026-01-14T13:27:00Z</dcterms:modified>
</cp:coreProperties>
</file>