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8DCC7" w14:textId="77777777" w:rsidR="002C5C06" w:rsidRDefault="005A6BE5">
      <w:pPr>
        <w:spacing w:after="210" w:line="360" w:lineRule="auto"/>
      </w:pPr>
      <w:r>
        <w:rPr>
          <w:rFonts w:ascii="inter" w:eastAsia="inter" w:hAnsi="inter" w:cs="inter"/>
          <w:noProof/>
          <w:color w:val="000000"/>
        </w:rPr>
        <w:t xml:space="preserve"> 5. 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53"/>
        <w:gridCol w:w="7551"/>
      </w:tblGrid>
      <w:tr w:rsidR="00BD0F41" w14:paraId="0416178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1AC28B" w14:textId="77777777" w:rsidR="002C5C06" w:rsidRDefault="002C5C06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9A618E6" w14:textId="77777777" w:rsidR="002C5C06" w:rsidRDefault="002C5C06"/>
        </w:tc>
      </w:tr>
      <w:tr w:rsidR="00BD0F41" w14:paraId="3566E04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9280EB" w14:textId="77777777" w:rsidR="002C5C0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Общая информация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568AB83" w14:textId="77777777" w:rsidR="002C5C0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Пациент: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Мужчина, 68 лет.</w:t>
            </w:r>
          </w:p>
          <w:p w14:paraId="0B8888E6" w14:textId="77777777" w:rsidR="002C5C0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Ситуация: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Плановый амбулаторный прием у врача-кардиолога в поликлинике для диспансерного наблюдения и коррекции терапии по поводу ХСН.</w:t>
            </w:r>
          </w:p>
          <w:p w14:paraId="0FF89DE6" w14:textId="77777777" w:rsidR="002C5C0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Цель: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Оценить текущий статус пациента, приверженность к лечению, сформулировать полный клинический диагноз и составить план дальнейшего диспансерного наблюдения и лечения.</w:t>
            </w:r>
          </w:p>
          <w:p w14:paraId="4FCE38D3" w14:textId="77777777" w:rsidR="002C5C0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Источник: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Клинические рекомендации «Хроническая сердечная недостаточность», Российское кардиологическое общество (РКО), 2024 г.</w:t>
            </w:r>
            <w:hyperlink w:anchor="fn1">
              <w:r w:rsidR="002C5C06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</w:p>
        </w:tc>
      </w:tr>
      <w:tr w:rsidR="00BD0F41" w14:paraId="2BD1D8D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B7C828" w14:textId="77777777" w:rsidR="002C5C0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Жалобы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868CBD" w14:textId="77777777" w:rsidR="002C5C0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Жалобы на одышку при ускоренной ходьбе и подъеме на 3-й этаж, общую утомляемость во второй половине дня. Отмечает, что за последний год состояние стабильное, без эпизодов острой одышки или необходимости вызывать скорую помощь.</w:t>
            </w:r>
          </w:p>
        </w:tc>
      </w:tr>
      <w:tr w:rsidR="00BD0F41" w14:paraId="17D4252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78BA6D" w14:textId="77777777" w:rsidR="002C5C0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Анамнез заболевания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E94A6EA" w14:textId="6C74F5A0" w:rsidR="002C5C0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3 года назад перенес </w:t>
            </w:r>
            <w:r w:rsidR="00BD0F41">
              <w:rPr>
                <w:rFonts w:ascii="inter" w:eastAsia="inter" w:hAnsi="inter" w:cs="inter"/>
                <w:color w:val="000000"/>
                <w:sz w:val="17"/>
              </w:rPr>
              <w:t>нижний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инфаркт миокарда, было выполнено ЧКВ со стентированием </w:t>
            </w:r>
            <w:r w:rsidR="00BD0F41">
              <w:rPr>
                <w:rFonts w:ascii="inter" w:eastAsia="inter" w:hAnsi="inter" w:cs="inter"/>
                <w:color w:val="000000"/>
                <w:sz w:val="17"/>
              </w:rPr>
              <w:t>правой коронарной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артерии. После этого был установлен диагноз ХСН. Последняя госпитализация по поводу декомпенсации была 1,5 года назад. Регулярно принимает назначенную терапию, самостоятельно дозы не меняет.</w:t>
            </w:r>
          </w:p>
        </w:tc>
      </w:tr>
      <w:tr w:rsidR="00BD0F41" w14:paraId="70287CD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A1B084" w14:textId="77777777" w:rsidR="002C5C0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Анамнез жизни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5FD9B03" w14:textId="77777777" w:rsidR="002C5C0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Перенесенные заболевания: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Артериальная гипертензия II стадии, дислипидемия.</w:t>
            </w:r>
          </w:p>
          <w:p w14:paraId="3D307A83" w14:textId="77777777" w:rsidR="002C5C0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Принимаемая терапия: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Периндоприл 5 мг 2 раза/сут, бисопролол 5 мг/сут, аторвастатин 40 мг/сут, ацетилсалициловая кислота 100 мг/сут. Торасемид 5 мг принимает периодически «при появлении отеков».</w:t>
            </w:r>
          </w:p>
          <w:p w14:paraId="07D8C4D1" w14:textId="77777777" w:rsidR="002C5C0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Вредные привычки: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Бросил курить 3 года назад.</w:t>
            </w:r>
          </w:p>
          <w:p w14:paraId="22033582" w14:textId="77777777" w:rsidR="002C5C0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Аллергологический анамнез: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Без особенностей.</w:t>
            </w:r>
          </w:p>
        </w:tc>
      </w:tr>
      <w:tr w:rsidR="00BD0F41" w14:paraId="59E2BB6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49276E" w14:textId="77777777" w:rsidR="002C5C0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Объективное обследование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7A8824" w14:textId="77777777" w:rsidR="002C5C0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Общее состояние: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Удовлетворительное.</w:t>
            </w:r>
          </w:p>
          <w:p w14:paraId="60C5BD78" w14:textId="77777777" w:rsidR="002C5C0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Сознание: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Ясное.</w:t>
            </w:r>
          </w:p>
          <w:p w14:paraId="1D02901E" w14:textId="77777777" w:rsidR="002C5C0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Кожные покровы: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Обычной окраски.</w:t>
            </w:r>
          </w:p>
          <w:p w14:paraId="065F9B7B" w14:textId="77777777" w:rsidR="002C5C0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Дыхательная система: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Дыхание везикулярное, хрипы не выслушиваются. ЧДД — 16 в минуту. SpO2 — 98%.</w:t>
            </w:r>
          </w:p>
          <w:p w14:paraId="1CDC633A" w14:textId="77777777" w:rsidR="002C5C0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Сердечно-сосудистая система: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Тоны сердца приглушены, ритм правильный. ЧСС — 68 ударов в минуту. АД — 120/75 мм рт. ст.</w:t>
            </w:r>
          </w:p>
          <w:p w14:paraId="4DD75B9F" w14:textId="77777777" w:rsidR="002C5C0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Другие органы и системы: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Периферических отеков нет. Печень не увеличена. Вес стабильный.</w:t>
            </w:r>
          </w:p>
        </w:tc>
      </w:tr>
      <w:tr w:rsidR="00BD0F41" w14:paraId="031AF0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3C33AF" w14:textId="77777777" w:rsidR="002C5C0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Назначение лабораторных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297B58A" w14:textId="77777777" w:rsidR="002C5C0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Выберите необходимые лабораторные исследования для оценки состояния и планирования лечения:</w:t>
            </w:r>
          </w:p>
          <w:p w14:paraId="311C375D" w14:textId="77777777" w:rsidR="002C5C06" w:rsidRDefault="002C5C06"/>
          <w:p w14:paraId="2284C886" w14:textId="77777777" w:rsidR="002C5C0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1. Исследование уровня NT-proBNP в крови.</w:t>
            </w:r>
          </w:p>
          <w:p w14:paraId="5B0D7912" w14:textId="77777777" w:rsidR="002C5C0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BD0F41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Определение уровня натрийуретических пептидов важно для объективной оценки тяжести ХСН, прогноза и контроля эффективности лечения.</w:t>
            </w:r>
          </w:p>
          <w:p w14:paraId="2EEA90D1" w14:textId="77777777" w:rsidR="002C5C0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Хроническая сердечная недостаточность, 2024, раздел 2.3, стр. 23</w:t>
            </w:r>
            <w:bookmarkStart w:id="0" w:name="fnref1:1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0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  <w:p w14:paraId="77C25D44" w14:textId="77777777" w:rsidR="002C5C06" w:rsidRDefault="002C5C06"/>
          <w:p w14:paraId="7680F482" w14:textId="77777777" w:rsidR="002C5C0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2. Общий и биохимический анализ крови (креатинин с рСКФ, калий, натрий).</w:t>
            </w:r>
          </w:p>
          <w:p w14:paraId="4C311457" w14:textId="77777777" w:rsidR="002C5C0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BD0F41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Необходимо регулярно контролировать функцию почек и уровень электролитов, особенно перед назначением или титрацией доз препаратов, влияющих на РААС. Также важно исключить анемию.</w:t>
            </w:r>
          </w:p>
          <w:p w14:paraId="11E623DA" w14:textId="77777777" w:rsidR="002C5C0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Хроническая сердечная недостаточность, 2024, раздел 2.3, стр. 23-24</w:t>
            </w:r>
            <w:bookmarkStart w:id="1" w:name="fnref1:2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  <w:p w14:paraId="44FA184B" w14:textId="77777777" w:rsidR="002C5C06" w:rsidRDefault="002C5C06"/>
          <w:p w14:paraId="4982D4A1" w14:textId="77777777" w:rsidR="002C5C0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3. Липидограмма, гликированный гемоглобин.</w:t>
            </w:r>
          </w:p>
          <w:p w14:paraId="3B240718" w14:textId="77777777" w:rsidR="002C5C0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BD0F41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Учитывая анамнез ИБС и наличие факторов риска, необходим контроль липидного профиля и скрининг на нарушения углеводного обмена для комплексного ведения пациента.</w:t>
            </w:r>
          </w:p>
          <w:p w14:paraId="7030FF0E" w14:textId="77777777" w:rsidR="002C5C0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Хроническая сердечная недостаточность, 2024, раздел 2.3, стр. 24</w:t>
            </w:r>
            <w:bookmarkStart w:id="2" w:name="fnref1:3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2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  <w:p w14:paraId="22B5A609" w14:textId="77777777" w:rsidR="002C5C06" w:rsidRDefault="002C5C06"/>
          <w:p w14:paraId="2DAF7AF7" w14:textId="77777777" w:rsidR="002C5C0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4. Исследование уровня тропонина I или T в крови.</w:t>
            </w:r>
          </w:p>
          <w:p w14:paraId="400D2B73" w14:textId="77777777" w:rsidR="002C5C0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BD0F41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При отсутствии острой боли в груди или признаков декомпенсации, рутинное определение тропонинов в амбулаторных условиях у стабильного пациента не показано.</w:t>
            </w:r>
          </w:p>
          <w:p w14:paraId="5448ACD3" w14:textId="77777777" w:rsidR="002C5C0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Хроническая сердечная недостаточность, 2024, раздел 7.3.2, стр. 98 (исследование показано при ОДСН и подозрении на ОКС)</w:t>
            </w:r>
            <w:bookmarkStart w:id="3" w:name="fnref1:4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3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</w:tc>
      </w:tr>
      <w:tr w:rsidR="00BD0F41" w14:paraId="678F01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89FE4D" w14:textId="77777777" w:rsidR="002C5C0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Назначение инструментальных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7ED9D9A" w14:textId="77777777" w:rsidR="002C5C0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Какие инструментальные исследования целесообразно выполнить на данном этапе?</w:t>
            </w:r>
          </w:p>
          <w:p w14:paraId="31C3EE52" w14:textId="77777777" w:rsidR="002C5C06" w:rsidRDefault="002C5C06"/>
          <w:p w14:paraId="449A7D4E" w14:textId="77777777" w:rsidR="002C5C0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1. ЭКГ в 12 отведениях.</w:t>
            </w:r>
          </w:p>
          <w:p w14:paraId="75C5F80B" w14:textId="77777777" w:rsidR="002C5C0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BD0F41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Это обязательное рутинное исследование для оценки ритма, ЧСС, выявления нарушений проводимости и динамики рубцовых изменений.</w:t>
            </w:r>
          </w:p>
          <w:p w14:paraId="46C9AE9D" w14:textId="77777777" w:rsidR="002C5C0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Хроническая сердечная недостаточность, 2024, раздел 2.4.1, стр. 25</w:t>
            </w:r>
            <w:bookmarkStart w:id="4" w:name="fnref1:5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4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  <w:p w14:paraId="423C972D" w14:textId="77777777" w:rsidR="002C5C06" w:rsidRDefault="002C5C06"/>
          <w:p w14:paraId="29806088" w14:textId="77777777" w:rsidR="002C5C0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2. Эхокардиография (ЭхоКГ).</w:t>
            </w:r>
          </w:p>
          <w:p w14:paraId="3D040A50" w14:textId="77777777" w:rsidR="002C5C0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BD0F41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Необходимо периодически (например, раз в год или при изменении клиники) повторять ЭхоКГ для оценки динамики фракции выброса ЛЖ, размеров камер сердца и функции клапанов, что влияет на тактику лечения.</w:t>
            </w:r>
          </w:p>
          <w:p w14:paraId="5F0C6EC9" w14:textId="77777777" w:rsidR="002C5C0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Хроническая сердечная недостаточность, 2024, раздел 2.4.2, стр. 25</w:t>
            </w:r>
            <w:bookmarkStart w:id="5" w:name="fnref1:6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5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  <w:p w14:paraId="7B02F90C" w14:textId="77777777" w:rsidR="002C5C06" w:rsidRDefault="002C5C06"/>
          <w:p w14:paraId="3C192E02" w14:textId="77777777" w:rsidR="002C5C0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3. Тест с 6-минутной ходьбой.</w:t>
            </w:r>
          </w:p>
          <w:p w14:paraId="2D06C4BD" w14:textId="77777777" w:rsidR="002C5C0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BD0F41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Простой и информативный тест для объективной оценки функционального статуса пациента и его динамики на фоне лечения.</w:t>
            </w:r>
          </w:p>
          <w:p w14:paraId="77B66178" w14:textId="77777777" w:rsidR="002C5C0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Хроническая сердечная недостаточность, 2024, раздел 2.5.1, стр. 35</w:t>
            </w:r>
            <w:bookmarkStart w:id="6" w:name="fnref1:7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6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  <w:p w14:paraId="2AC63E7E" w14:textId="77777777" w:rsidR="002C5C06" w:rsidRDefault="002C5C06"/>
          <w:p w14:paraId="12583208" w14:textId="77777777" w:rsidR="002C5C0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4. Коронарография.</w:t>
            </w:r>
          </w:p>
          <w:p w14:paraId="5C84109B" w14:textId="77777777" w:rsidR="002C5C0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BD0F41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При отсутствии симптомов стенокардии и признаков ишемии, инвазивная коронарография на плановом приеме не показана.</w:t>
            </w:r>
          </w:p>
          <w:p w14:paraId="517DF0E2" w14:textId="77777777" w:rsidR="002C5C0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Хроническая сердечная недостаточность, 2024, раздел 2.4.4, стр. 30</w:t>
            </w:r>
            <w:bookmarkStart w:id="7" w:name="fnref1:8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7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</w:tc>
      </w:tr>
      <w:tr w:rsidR="00BD0F41" w14:paraId="228EBD6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390E1F" w14:textId="77777777" w:rsidR="002C5C0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Оценка данных лабораторных и инструментальных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BDFA2D0" w14:textId="77777777" w:rsidR="002C5C0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Результаты лабораторных исследований:</w:t>
            </w:r>
          </w:p>
          <w:p w14:paraId="5D75E073" w14:textId="77777777" w:rsidR="002C5C0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NT-proBNP: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980 пг/мл (норма &lt; 125 пг/мл).</w:t>
            </w:r>
          </w:p>
          <w:p w14:paraId="0E308248" w14:textId="77777777" w:rsidR="002C5C0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Биохимия: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Креатинин 92 мкмоль/л (рСКФ 82 мл/мин/1.73 м²), калий 4.1 ммоль/л.</w:t>
            </w:r>
          </w:p>
          <w:p w14:paraId="7602CA36" w14:textId="77777777" w:rsidR="002C5C0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Общий анализ крови: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без значимых отклонений.</w:t>
            </w:r>
          </w:p>
          <w:p w14:paraId="64147373" w14:textId="77777777" w:rsidR="002C5C06" w:rsidRDefault="002C5C06"/>
          <w:p w14:paraId="7F9DE9F3" w14:textId="77777777" w:rsidR="002C5C0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Результаты инструментальных исследований:</w:t>
            </w:r>
          </w:p>
          <w:p w14:paraId="6825140C" w14:textId="0A6F87DB" w:rsidR="002C5C06" w:rsidRDefault="00000000">
            <w:pPr>
              <w:spacing w:line="360" w:lineRule="auto"/>
              <w:rPr>
                <w:rFonts w:ascii="inter" w:eastAsia="inter" w:hAnsi="inter" w:cs="inter"/>
                <w:color w:val="000000"/>
                <w:sz w:val="17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ЭКГ: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Ритм синусовый, ЧСС </w:t>
            </w:r>
            <w:r w:rsidR="00BD0F41">
              <w:rPr>
                <w:rFonts w:ascii="inter" w:eastAsia="inter" w:hAnsi="inter" w:cs="inter"/>
                <w:color w:val="000000"/>
                <w:sz w:val="17"/>
              </w:rPr>
              <w:t>91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в минуту. Патологические зубцы Q в отведениях </w:t>
            </w:r>
            <w:r w:rsidR="00BD0F41">
              <w:rPr>
                <w:rFonts w:ascii="inter" w:eastAsia="inter" w:hAnsi="inter" w:cs="inter"/>
                <w:color w:val="000000"/>
                <w:sz w:val="17"/>
                <w:lang w:val="en-US"/>
              </w:rPr>
              <w:t>II</w:t>
            </w:r>
            <w:r w:rsidR="00BD0F41" w:rsidRPr="00BD0F41">
              <w:rPr>
                <w:rFonts w:ascii="inter" w:eastAsia="inter" w:hAnsi="inter" w:cs="inter"/>
                <w:color w:val="000000"/>
                <w:sz w:val="17"/>
              </w:rPr>
              <w:t>,</w:t>
            </w:r>
            <w:r w:rsidR="00BD0F41">
              <w:rPr>
                <w:rFonts w:ascii="inter" w:eastAsia="inter" w:hAnsi="inter" w:cs="inter"/>
                <w:color w:val="000000"/>
                <w:sz w:val="17"/>
                <w:lang w:val="en-US"/>
              </w:rPr>
              <w:t>III</w:t>
            </w:r>
            <w:r w:rsidR="00BD0F41" w:rsidRPr="00BD0F41">
              <w:rPr>
                <w:rFonts w:ascii="inter" w:eastAsia="inter" w:hAnsi="inter" w:cs="inter"/>
                <w:color w:val="000000"/>
                <w:sz w:val="17"/>
              </w:rPr>
              <w:t>,</w:t>
            </w:r>
            <w:r w:rsidR="00BD0F41">
              <w:rPr>
                <w:rFonts w:ascii="inter" w:eastAsia="inter" w:hAnsi="inter" w:cs="inter"/>
                <w:color w:val="000000"/>
                <w:sz w:val="17"/>
                <w:lang w:val="en-US"/>
              </w:rPr>
              <w:t>F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указывающие на постинфарктный кардиосклероз </w:t>
            </w:r>
            <w:r w:rsidR="00BD0F41">
              <w:rPr>
                <w:rFonts w:ascii="inter" w:eastAsia="inter" w:hAnsi="inter" w:cs="inter"/>
                <w:color w:val="000000"/>
                <w:sz w:val="17"/>
              </w:rPr>
              <w:t>нижней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стенки ЛЖ. Комплекс QRS не уширен.</w:t>
            </w:r>
          </w:p>
          <w:p w14:paraId="48B91F8E" w14:textId="48D4256C" w:rsidR="00BD0F41" w:rsidRDefault="00BD0F41">
            <w:pPr>
              <w:spacing w:line="360" w:lineRule="auto"/>
            </w:pPr>
            <w:r w:rsidRPr="00BD0F41">
              <w:rPr>
                <w:noProof/>
              </w:rPr>
              <w:drawing>
                <wp:inline distT="0" distB="0" distL="0" distR="0" wp14:anchorId="0DAC6ADE" wp14:editId="432F4CF6">
                  <wp:extent cx="4498758" cy="2954705"/>
                  <wp:effectExtent l="0" t="0" r="0" b="4445"/>
                  <wp:docPr id="47324226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324226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7436" cy="2973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7F0B77" w14:textId="58736661" w:rsidR="002C5C0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ЭхоКГ: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Фракция выброса (ФВ) ЛЖ — 37%. Дилатация левого желудочка (КДР 6,2 см). Зоны акинезии в област</w:t>
            </w:r>
            <w:r w:rsidR="00BD0F41">
              <w:rPr>
                <w:rFonts w:ascii="inter" w:eastAsia="inter" w:hAnsi="inter" w:cs="inter"/>
                <w:color w:val="000000"/>
                <w:sz w:val="17"/>
              </w:rPr>
              <w:t xml:space="preserve">и нижней стенки левого желудочка. </w:t>
            </w:r>
            <w:r>
              <w:rPr>
                <w:rFonts w:ascii="inter" w:eastAsia="inter" w:hAnsi="inter" w:cs="inter"/>
                <w:color w:val="000000"/>
                <w:sz w:val="17"/>
              </w:rPr>
              <w:t>. Умеренная митральная регургитация.</w:t>
            </w:r>
          </w:p>
          <w:p w14:paraId="31E7BEC8" w14:textId="77777777" w:rsidR="002C5C0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Тест с 6-минутной ходьбой: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пройдена дистанция 380 метров, что соответствует II ФК ХСН.</w:t>
            </w:r>
          </w:p>
        </w:tc>
      </w:tr>
      <w:tr w:rsidR="00BD0F41" w14:paraId="5895D72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03C0A0" w14:textId="77777777" w:rsidR="002C5C0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Клинический диагноз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0018F2C" w14:textId="77777777" w:rsidR="002C5C0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Оцените текущий статус и выберите наиболее полную и точную формулировку диагноза:</w:t>
            </w:r>
          </w:p>
          <w:p w14:paraId="56DE44AE" w14:textId="77777777" w:rsidR="002C5C06" w:rsidRDefault="002C5C06"/>
          <w:p w14:paraId="27FD9BCF" w14:textId="76DE12DF" w:rsidR="002C5C0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1. ИБС: Постинфарктный кардиосклероз (ИМ от 2021 г., ЧКВ ПМЖА). Хроническая сердечная недостаточность со сниженной фракцией выброса (ХСНнФВ), стадия 1, ФК II.</w:t>
            </w:r>
          </w:p>
          <w:p w14:paraId="474F184F" w14:textId="77777777" w:rsidR="002C5C0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BD0F41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Диагноз полно отражает этиологию (ИБС), наличие симптомов и структурных изменений сердца (стадия 1), а также функциональные ограничения (ФК II — симптомы при привычной нагрузке), подтвержденные объективными данными.</w:t>
            </w:r>
          </w:p>
          <w:p w14:paraId="40646CCF" w14:textId="77777777" w:rsidR="002C5C0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Хроническая сердечная недостаточность, 2024, раздел 1.4, стр. 16-19</w:t>
            </w:r>
            <w:bookmarkStart w:id="8" w:name="fnref1:9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8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  <w:p w14:paraId="67AF206E" w14:textId="77777777" w:rsidR="002C5C06" w:rsidRDefault="002C5C06"/>
          <w:p w14:paraId="447C16FE" w14:textId="77777777" w:rsidR="002C5C0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2. ИБС: Стабильная стенокардия напряжения II ФК. ХСН, ФК II.</w:t>
            </w:r>
          </w:p>
          <w:p w14:paraId="678AF1DA" w14:textId="77777777" w:rsidR="002C5C0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BD0F41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Основная проблема пациента — симптомы сердечной недостаточности (одышка), а не ангинозные боли. Диагноз должен в первую очередь отражать наличие и тип ХСН.</w:t>
            </w:r>
          </w:p>
          <w:p w14:paraId="586D2165" w14:textId="77777777" w:rsidR="002C5C0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Хроническая сердечная недостаточность, 2024, раздел 1.5, стр. 19</w:t>
            </w:r>
            <w:bookmarkStart w:id="9" w:name="fnref1:10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9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  <w:p w14:paraId="6DA6FA6D" w14:textId="77777777" w:rsidR="002C5C06" w:rsidRDefault="002C5C06"/>
          <w:p w14:paraId="39E22687" w14:textId="77777777" w:rsidR="002C5C0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3. Хроническая сердечная недостаточность, стадия 2, ФК II.</w:t>
            </w:r>
          </w:p>
          <w:p w14:paraId="33ECD758" w14:textId="77777777" w:rsidR="002C5C0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BD0F41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Стадия 2 соответствует тяжелой, рефрактерной ХСН, что не соответствует клинической картине. Кроме того, не указана этиология заболевания.</w:t>
            </w:r>
          </w:p>
          <w:p w14:paraId="200E1DB1" w14:textId="77777777" w:rsidR="002C5C0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Хроническая сердечная недостаточность, 2024, раздел 1.4, стр. 17</w:t>
            </w:r>
            <w:bookmarkStart w:id="10" w:name="fnref1:11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0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</w:tc>
      </w:tr>
      <w:tr w:rsidR="00BD0F41" w14:paraId="6C7E63F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6BFACB" w14:textId="77777777" w:rsidR="002C5C0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Тактика лечения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480E861" w14:textId="77777777" w:rsidR="002C5C0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Выберите оптимальную тактику дальнейшего лечения для данного пациента с учетом его стабильного состояния и принимаемой терапии:</w:t>
            </w:r>
          </w:p>
          <w:p w14:paraId="705FB8A3" w14:textId="77777777" w:rsidR="002C5C06" w:rsidRDefault="002C5C06"/>
          <w:p w14:paraId="233B3888" w14:textId="77777777" w:rsidR="002C5C0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1. Оптимизировать терапию до современной «квадротерапии»: отменить периндоприл и перевести на валсартан+сакубитрил; добавить к лечению антагонист альдостерона (спиронолактон 25 мг) и ингибитор НГЛТ-2 (дапаглифлозин или эмпаглифлозин).</w:t>
            </w:r>
          </w:p>
          <w:p w14:paraId="31F481DD" w14:textId="77777777" w:rsidR="002C5C0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BD0F41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Это современный стандарт лечения ХСНнФВ, направленный на максимальное улучшение прогноза и симптомов. Пациент является идеальным кандидатом для интенсификации терапии, так как у него нет противопоказаний и он не получает все группы препаратов, влияющих на прогноз.</w:t>
            </w:r>
          </w:p>
          <w:p w14:paraId="0C26C791" w14:textId="77777777" w:rsidR="002C5C0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Хроническая сердечная недостаточность, 2024, раздел 3.1.2, стр. 37</w:t>
            </w:r>
            <w:bookmarkStart w:id="11" w:name="fnref1:12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1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  <w:p w14:paraId="46C2B5B4" w14:textId="77777777" w:rsidR="002C5C06" w:rsidRDefault="002C5C06"/>
          <w:p w14:paraId="36C1A4CA" w14:textId="77777777" w:rsidR="002C5C0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2. Оставить текущую терапию без изменений, так как состояние пациента стабильно.</w:t>
            </w:r>
          </w:p>
          <w:p w14:paraId="3DDBB086" w14:textId="77777777" w:rsidR="002C5C0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BD0F41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Стабильное состояние на неоптимальной терапии не является причиной для отказа от ее интенсификации. Отсутствие в схеме валсартана+сакубитрила, антагонистов альдостерона и ингибиторов НГЛТ-2 лишает пациента возможности получить максимальное улучшение прогноза.</w:t>
            </w:r>
          </w:p>
          <w:p w14:paraId="300FE809" w14:textId="77777777" w:rsidR="002C5C0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Хроническая сердечная недостаточность, 2024, раздел 3.1.2, стр. 37</w:t>
            </w:r>
            <w:bookmarkStart w:id="12" w:name="fnref1:13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2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  <w:p w14:paraId="6D457590" w14:textId="77777777" w:rsidR="002C5C06" w:rsidRDefault="002C5C06"/>
          <w:p w14:paraId="1CBBFC6B" w14:textId="77777777" w:rsidR="002C5C0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3. Добавить к терапии петлевой диуретик (торасемид 10 мг) на постоянной основе для уменьшения одышки.</w:t>
            </w:r>
          </w:p>
          <w:p w14:paraId="72CF45F2" w14:textId="77777777" w:rsidR="002C5C0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BD0F41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У пациента нет признаков застоя жидкости (эуволемический статус). Назначение диуретиков в этой ситуации не показано, не повлияет на прогноз и может вызвать побочные эффекты. Одышка обусловлена низкой ФВ, а не застоем.</w:t>
            </w:r>
          </w:p>
          <w:p w14:paraId="14BB5425" w14:textId="77777777" w:rsidR="002C5C0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Хроническая сердечная недостаточность, 2024, раздел 3.1.2.5, стр. 41</w:t>
            </w:r>
            <w:bookmarkStart w:id="13" w:name="fnref1:14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3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  <w:p w14:paraId="7197D340" w14:textId="77777777" w:rsidR="002C5C06" w:rsidRDefault="002C5C06"/>
          <w:p w14:paraId="689026D9" w14:textId="77777777" w:rsidR="002C5C0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4. Отменить бисопролол, так как ЧСС 68 в минуту.</w:t>
            </w:r>
          </w:p>
          <w:p w14:paraId="7D2F428C" w14:textId="77777777" w:rsidR="002C5C0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BD0F41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Бета-блокаторы являются обязательным компонентом терапии ХСНнФВ, влияющим на прогноз. ЧСС 68 в минуту является целевой на фоне терапии. Отмена препарата приведет к ухудшению прогноза.</w:t>
            </w:r>
          </w:p>
          <w:p w14:paraId="1918EE65" w14:textId="77777777" w:rsidR="002C5C0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Хроническая сердечная недостаточность, 2024, раздел 3.1.2.3, стр. 39</w:t>
            </w:r>
            <w:bookmarkStart w:id="14" w:name="fnref1:15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4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</w:tc>
      </w:tr>
      <w:tr w:rsidR="00BD0F41" w14:paraId="08025C5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CEF62B" w14:textId="77777777" w:rsidR="002C5C0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Диспансеризация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C6A2DD" w14:textId="77777777" w:rsidR="002C5C0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Составьте план дальнейшего диспансерного наблюдения для данного пациента:</w:t>
            </w:r>
          </w:p>
          <w:p w14:paraId="0462F0EC" w14:textId="77777777" w:rsidR="002C5C06" w:rsidRDefault="002C5C06"/>
          <w:p w14:paraId="62C15224" w14:textId="77777777" w:rsidR="002C5C0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1. Плановый визит через 1 месяц для контроля переносимости новой терапии (АД, ЧСС, креатинин, калий). Далее — визиты не реже 2 раз в год. Ежегодная вакцинация от гриппа. Обучение пациента самоконтролю (взвешивание, контроль АД, ЧСС). Плановая ЭхоКГ через 1 год.</w:t>
            </w:r>
          </w:p>
          <w:p w14:paraId="2D792910" w14:textId="77777777" w:rsidR="002C5C0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BD0F41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План включает контроль безопасности после изменения терапии, регулярное наблюдение, профилактические мероприятия и обучение пациента, что соответствует современным подходам к ведению пациентов с ХСН.</w:t>
            </w:r>
          </w:p>
          <w:p w14:paraId="1C291991" w14:textId="77777777" w:rsidR="002C5C0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Хроническая сердечная недостаточность, 2024, раздел 5, стр. 84-86; раздел 7.1, стр. 91</w:t>
            </w:r>
            <w:bookmarkStart w:id="15" w:name="fnref1:16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5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  <w:p w14:paraId="6FC67F7A" w14:textId="77777777" w:rsidR="002C5C06" w:rsidRDefault="002C5C06"/>
          <w:p w14:paraId="2D15672E" w14:textId="77777777" w:rsidR="002C5C0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2. Наблюдение не требуется, так как состояние стабильное. Явка при ухудшении.</w:t>
            </w:r>
          </w:p>
          <w:p w14:paraId="29240CEE" w14:textId="77777777" w:rsidR="002C5C0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BD0F41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Пациенты с ХСН нуждаются в пожизненном диспансерном наблюдении для контроля состояния и своевременной коррекции терапии, даже при стабильном течении.</w:t>
            </w:r>
          </w:p>
          <w:p w14:paraId="6710C94B" w14:textId="77777777" w:rsidR="002C5C0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Хроническая сердечная недостаточность, 2024, раздел 5, стр. 84</w:t>
            </w:r>
            <w:bookmarkStart w:id="16" w:name="fnref1:17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6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  <w:p w14:paraId="0A07435A" w14:textId="77777777" w:rsidR="002C5C06" w:rsidRDefault="002C5C06"/>
          <w:p w14:paraId="53AF85E5" w14:textId="77777777" w:rsidR="002C5C0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3. Ежемесячный контроль уровня тропонина и NT-proBNP.</w:t>
            </w:r>
          </w:p>
          <w:p w14:paraId="0FB096DC" w14:textId="77777777" w:rsidR="002C5C0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BD0F41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Рутинное ежемесячное определение этих маркеров у стабильного амбулаторного пациента нецелесообразно и не рекомендовано. NT-proBNP может контролироваться реже, а тропонин — только при подозрении на ОКС.</w:t>
            </w:r>
          </w:p>
          <w:p w14:paraId="04982249" w14:textId="77777777" w:rsidR="002C5C0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Хроническая сердечная недостаточность, 2024, раздел 2.3, стр. 23; раздел 7.3.2, стр. 97</w:t>
            </w:r>
            <w:bookmarkStart w:id="17" w:name="fnref1:18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7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  <w:p w14:paraId="5B67EC03" w14:textId="77777777" w:rsidR="002C5C06" w:rsidRDefault="002C5C06"/>
          <w:p w14:paraId="3CD61059" w14:textId="77777777" w:rsidR="002C5C0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4. Ежегодная коронарография для контроля состояния стента.</w:t>
            </w:r>
          </w:p>
          <w:p w14:paraId="7B3DF754" w14:textId="77777777" w:rsidR="002C5C0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BD0F41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При отсутствии симптомов стенокардии или признаков ишемии миокарда рутинная инвазивная коронарография не показана.</w:t>
            </w:r>
          </w:p>
          <w:p w14:paraId="134638EB" w14:textId="77777777" w:rsidR="002C5C0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Хроническая сердечная недостаточность, 2024, раздел 2.4.4, стр. 30</w:t>
            </w:r>
            <w:bookmarkStart w:id="18" w:name="fnref1:19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8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</w:tc>
      </w:tr>
      <w:tr w:rsidR="00BD0F41" w14:paraId="00503A5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9CA488" w14:textId="77777777" w:rsidR="002C5C0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Дополнительная информация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D60E114" w14:textId="77777777" w:rsidR="002C5C0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Источник, использованный для создания сценария:</w:t>
            </w:r>
          </w:p>
          <w:p w14:paraId="68A796C7" w14:textId="77777777" w:rsidR="002C5C0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Хроническая сердечная недостаточность. Клинические рекомендации 2024. Российское кардиологическое общество (РКО). Утверждены Минздравом РФ.</w:t>
            </w:r>
            <w:hyperlink w:anchor="fn1">
              <w:r w:rsidR="002C5C06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</w:p>
        </w:tc>
      </w:tr>
    </w:tbl>
    <w:p w14:paraId="20DA1017" w14:textId="77777777" w:rsidR="002C5C06" w:rsidRDefault="002C5C06"/>
    <w:p w14:paraId="68A813F4" w14:textId="77777777" w:rsidR="002C5C06" w:rsidRDefault="00000000">
      <w:pPr>
        <w:spacing w:line="360" w:lineRule="auto"/>
        <w:jc w:val="center"/>
      </w:pPr>
      <w:r>
        <w:rPr>
          <w:rFonts w:ascii="inter" w:eastAsia="inter" w:hAnsi="inter" w:cs="inter"/>
          <w:color w:val="000000"/>
        </w:rPr>
        <w:t>⁂</w:t>
      </w:r>
    </w:p>
    <w:p w14:paraId="13125873" w14:textId="77777777" w:rsidR="002C5C06" w:rsidRDefault="00C31654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6069CBF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1D80154" w14:textId="045D346B" w:rsidR="002C5C06" w:rsidRDefault="00000000">
      <w:pPr>
        <w:numPr>
          <w:ilvl w:val="0"/>
          <w:numId w:val="2"/>
        </w:numPr>
        <w:spacing w:after="210" w:line="360" w:lineRule="auto"/>
      </w:pPr>
      <w:bookmarkStart w:id="19" w:name="fn1"/>
      <w:bookmarkEnd w:id="19"/>
      <w:r>
        <w:rPr>
          <w:rFonts w:ascii="inter" w:eastAsia="inter" w:hAnsi="inter" w:cs="inter"/>
          <w:color w:val="000000"/>
          <w:sz w:val="18"/>
        </w:rPr>
        <w:t xml:space="preserve">Khronicheskaia-serdechnaia-nedostatochnost-2024-1.pdf                     </w:t>
      </w:r>
    </w:p>
    <w:sectPr w:rsidR="002C5C06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inter">
    <w:altName w:val="Cambria"/>
    <w:panose1 w:val="020B0604020202020204"/>
    <w:charset w:val="00"/>
    <w:family w:val="roman"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A7C36"/>
    <w:multiLevelType w:val="hybridMultilevel"/>
    <w:tmpl w:val="FE582D32"/>
    <w:lvl w:ilvl="0" w:tplc="44B07946">
      <w:numFmt w:val="decimal"/>
      <w:lvlText w:val=""/>
      <w:lvlJc w:val="left"/>
    </w:lvl>
    <w:lvl w:ilvl="1" w:tplc="0F4AEAD4">
      <w:numFmt w:val="decimal"/>
      <w:lvlText w:val=""/>
      <w:lvlJc w:val="left"/>
    </w:lvl>
    <w:lvl w:ilvl="2" w:tplc="672EE534">
      <w:numFmt w:val="decimal"/>
      <w:lvlText w:val=""/>
      <w:lvlJc w:val="left"/>
    </w:lvl>
    <w:lvl w:ilvl="3" w:tplc="C0480DAC">
      <w:numFmt w:val="decimal"/>
      <w:lvlText w:val=""/>
      <w:lvlJc w:val="left"/>
    </w:lvl>
    <w:lvl w:ilvl="4" w:tplc="FDF8D6E0">
      <w:numFmt w:val="decimal"/>
      <w:lvlText w:val=""/>
      <w:lvlJc w:val="left"/>
    </w:lvl>
    <w:lvl w:ilvl="5" w:tplc="F504515A">
      <w:numFmt w:val="decimal"/>
      <w:lvlText w:val=""/>
      <w:lvlJc w:val="left"/>
    </w:lvl>
    <w:lvl w:ilvl="6" w:tplc="54026156">
      <w:numFmt w:val="decimal"/>
      <w:lvlText w:val=""/>
      <w:lvlJc w:val="left"/>
    </w:lvl>
    <w:lvl w:ilvl="7" w:tplc="8FE269FC">
      <w:numFmt w:val="decimal"/>
      <w:lvlText w:val=""/>
      <w:lvlJc w:val="left"/>
    </w:lvl>
    <w:lvl w:ilvl="8" w:tplc="79902F42">
      <w:numFmt w:val="decimal"/>
      <w:lvlText w:val=""/>
      <w:lvlJc w:val="left"/>
    </w:lvl>
  </w:abstractNum>
  <w:abstractNum w:abstractNumId="1" w15:restartNumberingAfterBreak="0">
    <w:nsid w:val="2C450761"/>
    <w:multiLevelType w:val="hybridMultilevel"/>
    <w:tmpl w:val="9DB47654"/>
    <w:lvl w:ilvl="0" w:tplc="F1EEC44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2FA2B8FE">
      <w:numFmt w:val="decimal"/>
      <w:lvlText w:val=""/>
      <w:lvlJc w:val="left"/>
    </w:lvl>
    <w:lvl w:ilvl="2" w:tplc="8334C36E">
      <w:numFmt w:val="decimal"/>
      <w:lvlText w:val=""/>
      <w:lvlJc w:val="left"/>
    </w:lvl>
    <w:lvl w:ilvl="3" w:tplc="D12E5AC8">
      <w:numFmt w:val="decimal"/>
      <w:lvlText w:val=""/>
      <w:lvlJc w:val="left"/>
    </w:lvl>
    <w:lvl w:ilvl="4" w:tplc="20B640F6">
      <w:numFmt w:val="decimal"/>
      <w:lvlText w:val=""/>
      <w:lvlJc w:val="left"/>
    </w:lvl>
    <w:lvl w:ilvl="5" w:tplc="699CFF90">
      <w:numFmt w:val="decimal"/>
      <w:lvlText w:val=""/>
      <w:lvlJc w:val="left"/>
    </w:lvl>
    <w:lvl w:ilvl="6" w:tplc="FCA4E01A">
      <w:numFmt w:val="decimal"/>
      <w:lvlText w:val=""/>
      <w:lvlJc w:val="left"/>
    </w:lvl>
    <w:lvl w:ilvl="7" w:tplc="07B642AC">
      <w:numFmt w:val="decimal"/>
      <w:lvlText w:val=""/>
      <w:lvlJc w:val="left"/>
    </w:lvl>
    <w:lvl w:ilvl="8" w:tplc="52285CE0">
      <w:numFmt w:val="decimal"/>
      <w:lvlText w:val=""/>
      <w:lvlJc w:val="left"/>
    </w:lvl>
  </w:abstractNum>
  <w:num w:numId="1" w16cid:durableId="439225693">
    <w:abstractNumId w:val="0"/>
  </w:num>
  <w:num w:numId="2" w16cid:durableId="4797349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5C06"/>
    <w:rsid w:val="00167D76"/>
    <w:rsid w:val="001D70FA"/>
    <w:rsid w:val="002C5C06"/>
    <w:rsid w:val="003E3DE5"/>
    <w:rsid w:val="005A6BE5"/>
    <w:rsid w:val="00680DF6"/>
    <w:rsid w:val="00761821"/>
    <w:rsid w:val="00AB137D"/>
    <w:rsid w:val="00BD0F41"/>
    <w:rsid w:val="00C31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46CA8337"/>
  <w15:docId w15:val="{B5FBE760-5190-C444-99A9-1E901927E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1600</Words>
  <Characters>9120</Characters>
  <Application>Microsoft Office Word</Application>
  <DocSecurity>0</DocSecurity>
  <Lines>76</Lines>
  <Paragraphs>21</Paragraphs>
  <ScaleCrop>false</ScaleCrop>
  <Company/>
  <LinksUpToDate>false</LinksUpToDate>
  <CharactersWithSpaces>10699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ВВ</cp:lastModifiedBy>
  <cp:revision>4</cp:revision>
  <dcterms:created xsi:type="dcterms:W3CDTF">2025-08-13T20:26:00Z</dcterms:created>
  <dcterms:modified xsi:type="dcterms:W3CDTF">2026-01-14T13:33:00Z</dcterms:modified>
</cp:coreProperties>
</file>