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82F83" w14:textId="4D508A47" w:rsidR="006371D8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сценарий </w:t>
      </w:r>
      <w:r w:rsidR="005A4D41">
        <w:rPr>
          <w:rFonts w:ascii="inter" w:eastAsia="inter" w:hAnsi="inter" w:cs="inter"/>
          <w:color w:val="000000"/>
        </w:rPr>
        <w:t xml:space="preserve">6. </w:t>
      </w:r>
    </w:p>
    <w:p w14:paraId="5A937B65" w14:textId="77777777" w:rsidR="006371D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Сценарий для клинического случая: ХСН с показаниями к ИКД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96"/>
        <w:gridCol w:w="7508"/>
      </w:tblGrid>
      <w:tr w:rsidR="006371D8" w14:paraId="294760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F1C47B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Раздел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0B8703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 и варианты ответов</w:t>
            </w:r>
          </w:p>
        </w:tc>
      </w:tr>
      <w:tr w:rsidR="006371D8" w14:paraId="534B8A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4428C7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DD369A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Пациент, мужчина 65 лет, с диагнозом хронической сердечной недостаточности со сниженной фракцией выброса (ХСНнФВ) обратился на амбулаторный приём к кардиологу.</w:t>
            </w:r>
          </w:p>
          <w:p w14:paraId="7084A9C1" w14:textId="77777777" w:rsidR="006371D8" w:rsidRDefault="006371D8"/>
          <w:p w14:paraId="2C713C0A" w14:textId="25D59F09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Проведите обследование, установите точный диагноз, назначьте лечение и определите показания к имплантации кардиовертера-дефибриллятора (ИКД) для вторичной профилактики внезапной сердечной смерти (ВСС).</w:t>
            </w:r>
          </w:p>
          <w:p w14:paraId="0F1906E8" w14:textId="77777777" w:rsidR="006371D8" w:rsidRDefault="006371D8"/>
          <w:p w14:paraId="4E2A9965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«Хроническая сердечная недостаточность. Клинические рекомендации 2024». Общероссийская общественная организация «Российское кардиологическое общество».</w:t>
            </w:r>
          </w:p>
        </w:tc>
      </w:tr>
      <w:tr w:rsidR="006371D8" w14:paraId="1D6BE0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0CAC3D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3856EF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Пациент жалуется на периодические головокружения и несколько эпизодов потери сознания (синкопе) за последние 6 месяцев. Также отмечает постоянную утомляемость при незначительной физической нагрузке и ощущение нерегулярного сердцебиения.</w:t>
            </w:r>
          </w:p>
        </w:tc>
      </w:tr>
      <w:tr w:rsidR="006371D8" w14:paraId="7E7C30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84C20B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14FEB4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Диагноз ХСН установлен 3 года назад. В течение последнего полугода отмечает учащение приступов сердцебиения и появление эпизодов потери сознания, которые возникают внезапно. Получает терапию, включающую бета-блокаторы и ингибиторы АПФ, но дозы не титровались в течение последнего года.</w:t>
            </w:r>
          </w:p>
        </w:tc>
      </w:tr>
      <w:tr w:rsidR="006371D8" w14:paraId="3C900F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4A96C9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87A9F6" w14:textId="75A7ED05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Перенес инфаркт миокарда 4 года назад. Страдает артериальной гипертензией</w:t>
            </w:r>
            <w:r w:rsidR="005A4D41">
              <w:rPr>
                <w:rFonts w:ascii="inter" w:eastAsia="inter" w:hAnsi="inter" w:cs="inter"/>
                <w:color w:val="000000"/>
                <w:sz w:val="17"/>
              </w:rPr>
              <w:t xml:space="preserve"> более 20 лет</w:t>
            </w:r>
            <w:r>
              <w:rPr>
                <w:rFonts w:ascii="inter" w:eastAsia="inter" w:hAnsi="inter" w:cs="inter"/>
                <w:color w:val="000000"/>
                <w:sz w:val="17"/>
              </w:rPr>
              <w:t>. Других серьезных хронических заболеваний нет. Аллергологический анамнез не отягощен.</w:t>
            </w:r>
          </w:p>
        </w:tc>
      </w:tr>
      <w:tr w:rsidR="006371D8" w14:paraId="2608EE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AE44E8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968214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Общее состояние удовлетворительное. Сознание ясное. АД 120/80 мм рт. ст., ЧСС 45 уд/мин, пульс аритмичный. При аускультации сердца тоны приглушены, аритмичные. В легких дыхание везикулярное, хрипов нет. Периферических отеков нет.</w:t>
            </w:r>
          </w:p>
        </w:tc>
      </w:tr>
      <w:tr w:rsidR="006371D8" w14:paraId="319776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A8841C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E0F9DE" w14:textId="77777777" w:rsidR="006371D8" w:rsidRDefault="00000000">
            <w:pPr>
              <w:spacing w:line="360" w:lineRule="auto"/>
            </w:pPr>
            <w:r w:rsidRPr="0035205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7DE8F5E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Хроническая сердечная недостаточность с желудочковыми нарушениями ритма.</w:t>
            </w:r>
          </w:p>
          <w:p w14:paraId="102EDB33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Диагноз основан на анамнезе (ХСН, перенесенный ИМ) и жалобах (синкопе, сердцебиение), что указывает на высокий риск жизнеугрожающих аритмий </w:t>
            </w:r>
            <w:bookmarkStart w:id="0" w:name="fnref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Источник: КР ХСН, 2024, раздел 3.1.5, стр. 46.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09BE307" w14:textId="77777777" w:rsidR="006371D8" w:rsidRDefault="006371D8"/>
          <w:p w14:paraId="276189E4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35205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ответы: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3F3BD87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Стенокардия напряжения.</w:t>
            </w:r>
          </w:p>
          <w:p w14:paraId="18BACBBF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Хотя ИБС является причиной ХСН, ведущими в клинической картине являются симптомы аритмии, а не боли в груди </w:t>
            </w:r>
            <w:bookmarkStart w:id="1" w:name="fnref1: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Источник: КР ХСН, 2024, раздел 1.5, стр. 19.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12720D9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Миокардит.</w:t>
            </w:r>
          </w:p>
          <w:p w14:paraId="65240317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Отсутствуют данные об острой инфекции или системном воспалительном процессе, которые характерны для миокардита </w:t>
            </w:r>
            <w:bookmarkStart w:id="2" w:name="fnref1: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Источник: КР ХСН, 2024, раздел 1.1, стр. 12.</w:t>
            </w:r>
          </w:p>
        </w:tc>
      </w:tr>
      <w:tr w:rsidR="006371D8" w14:paraId="70BA454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AAE579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3210ED" w14:textId="77777777" w:rsidR="006371D8" w:rsidRDefault="00000000">
            <w:pPr>
              <w:spacing w:line="360" w:lineRule="auto"/>
            </w:pPr>
            <w:r w:rsidRPr="0035205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назначения: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0C00FE5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Общий анализ крови, биохимический анализ крови (креатинин, калий, натрий).</w:t>
            </w:r>
          </w:p>
          <w:p w14:paraId="632E75B8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Определение уровня натрийуретических пептидов (NT-proBNP).</w:t>
            </w:r>
          </w:p>
          <w:p w14:paraId="0866F029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Это стандартные исследования для оценки состояния пациента с ХСН, функции почек и контроля электролитов, что важно перед коррекцией терапии и для оценки прогноза </w:t>
            </w:r>
            <w:bookmarkStart w:id="3" w:name="fnref1: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Источник: КР ХСН, 2024, раздел 2.3, стр. 23–24.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0180B71" w14:textId="77777777" w:rsidR="006371D8" w:rsidRDefault="006371D8"/>
          <w:p w14:paraId="657BD0E1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35205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назначения: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A09380E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Анализ на онкомаркеры.</w:t>
            </w:r>
          </w:p>
          <w:p w14:paraId="2EB855A4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Данное исследование не имеет показаний при отсутствии клинических подозрений на онкологическое заболевание </w:t>
            </w:r>
            <w:bookmarkStart w:id="4" w:name="fnref1: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6371D8" w14:paraId="122EC8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008052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47A739" w14:textId="77777777" w:rsidR="006371D8" w:rsidRDefault="00000000">
            <w:pPr>
              <w:spacing w:line="360" w:lineRule="auto"/>
            </w:pPr>
            <w:r w:rsidRPr="0035205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назначения: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AE722F4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ЭКГ в 12 отведениях.</w:t>
            </w:r>
          </w:p>
          <w:p w14:paraId="0034BE0A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Эхокардиография (ЭхоКГ).</w:t>
            </w:r>
          </w:p>
          <w:p w14:paraId="026B3F7B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Холтеровское мониторирование ЭКГ (24–48 часов).</w:t>
            </w:r>
          </w:p>
          <w:p w14:paraId="676F0DDA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ЭКГ и ЭхоКГ необходимы для оценки ритма, структуры и функции сердца. Холтеровское мониторирование является ключевым методом для выявления и документирования желудочковых аритмий, которые могут быть причиной синкопе </w:t>
            </w:r>
            <w:bookmarkStart w:id="5" w:name="fnref1: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5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Источник: КР ХСН, 2024, раздел 2.4.1, 2.4.2, стр. 25–26.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A7346F1" w14:textId="77777777" w:rsidR="006371D8" w:rsidRDefault="006371D8"/>
          <w:p w14:paraId="23754E8A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35205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назначения: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652C671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Чреспищеводная эхокардиография.</w:t>
            </w:r>
          </w:p>
          <w:p w14:paraId="1093D3BE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Данный метод не является исследованием первой линии при данной клинической картине и показан в более сложных диагностических случаях (например, при подозрении на патологию клапанов или тромбоз ушка левого предсердия) </w:t>
            </w:r>
            <w:bookmarkStart w:id="6" w:name="fnref1: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6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Источник: КР ХСН, 2024, раздел 2.4.6, стр. 30.</w:t>
            </w:r>
          </w:p>
        </w:tc>
      </w:tr>
      <w:tr w:rsidR="006371D8" w14:paraId="3DE63F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6B9CC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Оценка данных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A28C1E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Уровень NT-proBNP значительно повышен. В общем и биохимическом анализах крови значимых отклонений нет.</w:t>
            </w:r>
          </w:p>
        </w:tc>
      </w:tr>
      <w:tr w:rsidR="006371D8" w14:paraId="333085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2E5510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821FFB" w14:textId="68D08CBC" w:rsidR="006371D8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синусовая брадикардия, ЧСС </w:t>
            </w:r>
            <w:r w:rsidR="00352053">
              <w:rPr>
                <w:rFonts w:ascii="inter" w:eastAsia="inter" w:hAnsi="inter" w:cs="inter"/>
                <w:color w:val="000000"/>
                <w:sz w:val="17"/>
              </w:rPr>
              <w:t>54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 минуту</w:t>
            </w:r>
            <w:r w:rsidR="00352053">
              <w:rPr>
                <w:rFonts w:ascii="inter" w:eastAsia="inter" w:hAnsi="inter" w:cs="inter"/>
                <w:color w:val="000000"/>
                <w:sz w:val="17"/>
              </w:rPr>
              <w:t>. А-В блокада 1 ст. Р</w:t>
            </w:r>
            <w:r>
              <w:rPr>
                <w:rFonts w:ascii="inter" w:eastAsia="inter" w:hAnsi="inter" w:cs="inter"/>
                <w:color w:val="000000"/>
                <w:sz w:val="17"/>
              </w:rPr>
              <w:t>убцовые изменения в нижней стенке левого желудочка.</w:t>
            </w:r>
          </w:p>
          <w:p w14:paraId="18DFFB65" w14:textId="26B9EDEA" w:rsidR="00352053" w:rsidRDefault="00352053">
            <w:pPr>
              <w:spacing w:line="360" w:lineRule="auto"/>
            </w:pPr>
            <w:r w:rsidRPr="00352053">
              <w:rPr>
                <w:noProof/>
              </w:rPr>
              <w:drawing>
                <wp:inline distT="0" distB="0" distL="0" distR="0" wp14:anchorId="45E8E4E7" wp14:editId="1038E052">
                  <wp:extent cx="4234326" cy="2761440"/>
                  <wp:effectExtent l="0" t="0" r="0" b="0"/>
                  <wp:docPr id="18063654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36544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381" cy="2776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19981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дилатация левого желудочка, фракция выброса (ФВ) ЛЖ — 30%. Выраженная гипокинезия нижней стенки.</w:t>
            </w:r>
          </w:p>
          <w:p w14:paraId="523AC1FA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Холтеровское мониторирование 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зарегистрированы частые желудочковые экстрасистолы и несколько эпизодов неустойчивой желудочковой тахикардии (ЖТ).</w:t>
            </w:r>
          </w:p>
        </w:tc>
      </w:tr>
      <w:tr w:rsidR="006371D8" w14:paraId="408D2B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6C95B7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B87974" w14:textId="77777777" w:rsidR="006371D8" w:rsidRDefault="00000000">
            <w:pPr>
              <w:spacing w:line="360" w:lineRule="auto"/>
            </w:pPr>
            <w:r w:rsidRPr="0035205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диагноз: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F182729" w14:textId="19A1B4D0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ИБС: постинфарктный кардиосклероз. ХСНнФВ, 2 стадия, III ФК. </w:t>
            </w:r>
            <w:r w:rsidR="005A4D41">
              <w:rPr>
                <w:rFonts w:ascii="inter" w:eastAsia="inter" w:hAnsi="inter" w:cs="inter"/>
                <w:color w:val="000000"/>
                <w:sz w:val="17"/>
              </w:rPr>
              <w:t xml:space="preserve">Желудочковая экстрасистолия. </w:t>
            </w:r>
            <w:r>
              <w:rPr>
                <w:rFonts w:ascii="inter" w:eastAsia="inter" w:hAnsi="inter" w:cs="inter"/>
                <w:color w:val="000000"/>
                <w:sz w:val="17"/>
              </w:rPr>
              <w:t>Пароксизмальная желудочковая тахикардия. Высокий риск внезапной сердечной смерти.</w:t>
            </w:r>
          </w:p>
          <w:p w14:paraId="5CA34FCC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Диагноз полностью отражает этиологию, стадию и осложнения заболевания, подтвержденные инструментальными данными (ФВ ЛЖ ≤35% и наличие ЖТ) </w:t>
            </w:r>
            <w:bookmarkStart w:id="7" w:name="fnref1: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7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Источник: КР ХСН, 2024, раздел 1.4, стр. 18–19.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039215A" w14:textId="77777777" w:rsidR="006371D8" w:rsidRDefault="006371D8"/>
          <w:p w14:paraId="2AC11DD0" w14:textId="403ED9D4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35205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</w:t>
            </w:r>
            <w:r w:rsidR="005A4D41">
              <w:rPr>
                <w:rFonts w:ascii="inter" w:eastAsia="inter" w:hAnsi="inter" w:cs="inter"/>
                <w:b/>
                <w:color w:val="000000"/>
                <w:sz w:val="17"/>
              </w:rPr>
              <w:t>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диагноз: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DA17D2B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Синдром слабости синусового узла.</w:t>
            </w:r>
          </w:p>
          <w:p w14:paraId="474BC339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Хотя у пациента и есть брадикардия, основной угрозой являются желудочковые аритмии, а не дисфункция синусового узла </w:t>
            </w:r>
            <w:bookmarkStart w:id="8" w:name="fnref1: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8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6371D8" w14:paraId="5A7205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B9D7FD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9FA9DA" w14:textId="77777777" w:rsidR="006371D8" w:rsidRDefault="00000000">
            <w:pPr>
              <w:spacing w:line="360" w:lineRule="auto"/>
            </w:pPr>
            <w:r w:rsidRPr="0035205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Верная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тактика: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E43D8BB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Оптимизация медикаментозной терапии: перевод на квадротерапию (АРНИ/иАПФ, бета-адреноблокатор, антагонист минералокортикоидных рецепторов, ингибитор SGLT2).</w:t>
            </w:r>
          </w:p>
          <w:p w14:paraId="4BDE41D1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Направление на имплантацию ИКД для вторичной профилактики ВСС.</w:t>
            </w:r>
          </w:p>
          <w:p w14:paraId="288FDE7F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Пациент с ФВ ЛЖ ≤35% и эпизодами ЖТ имеет абсолютные показания для имплантации ИКД. Оптимизация терапии является обязательным условием перед имплантацией </w:t>
            </w:r>
            <w:bookmarkStart w:id="9" w:name="fnref1: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9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Источник: КР ХСН, 2024, раздел 3.3.2.1, стр. 72, и раздел 3.1.2, стр. 37.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257735F" w14:textId="77777777" w:rsidR="006371D8" w:rsidRDefault="006371D8"/>
          <w:p w14:paraId="5FF1D70E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35205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Неверная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тактика: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BD4223B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Назначение антиаритмических препаратов I класса (например, пропафенона) или соталола.</w:t>
            </w:r>
          </w:p>
          <w:p w14:paraId="74320BB8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Антиаритмические препараты I класса противопоказаны пациентам с ХСНнФВ и структурными изменениями миокарда из-за повышения риска смерти </w:t>
            </w:r>
            <w:bookmarkStart w:id="10" w:name="fnref1:1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Источник: КР ХСН, 2024, раздел 3.1.4, стр. 46.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EF88D53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Отмена бета-блокаторов из-за брадикардии.</w:t>
            </w:r>
          </w:p>
          <w:p w14:paraId="6052902D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Бета-блокаторы улучшают прогноз при ХСН. Брадикардия требует осторожной оценки, но не является абсолютным показанием к отмене препарата, который снижает риск аритмий </w:t>
            </w:r>
            <w:bookmarkStart w:id="11" w:name="fnref1:1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Источник: КР ХСН, 2024, раздел 3.1.2.3, стр. 39.</w:t>
            </w:r>
          </w:p>
        </w:tc>
      </w:tr>
      <w:tr w:rsidR="006371D8" w14:paraId="003BA0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3DB90F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F15E3F" w14:textId="77777777" w:rsidR="006371D8" w:rsidRDefault="00000000">
            <w:pPr>
              <w:spacing w:line="360" w:lineRule="auto"/>
            </w:pPr>
            <w:r w:rsidRPr="0035205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план: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3B98302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Наблюдение у кардиолога не реже 2 раз в год (после имплантации ИКД — согласно графику проверки устройства). Контроль ЭКГ, ЭхоКГ (1 раз в год), уровня NT-proBNP. Коррекция медикаментозной терапии.</w:t>
            </w:r>
          </w:p>
          <w:p w14:paraId="6EE3C1AF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Пациенты с ХСН и ИКД нуждаются в строгом диспансерном наблюдении для контроля заболевания и функционирования устройства </w:t>
            </w:r>
            <w:bookmarkStart w:id="12" w:name="fnref1:1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Источник: КР ХСН, 2024, раздел 5, стр. 86.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28A4E3C" w14:textId="77777777" w:rsidR="006371D8" w:rsidRDefault="006371D8"/>
          <w:p w14:paraId="7EE830C8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35205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план: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CA45275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Наблюдение у терапевта 1 раз в год.</w:t>
            </w:r>
          </w:p>
          <w:p w14:paraId="36FC1843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Пациенты с ХСН 2Б-3 стадии и ФВ ЛЖ &lt;40% должны наблюдаться у кардиолога </w:t>
            </w:r>
            <w:bookmarkStart w:id="13" w:name="fnref1:1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Источник: КР ХСН, 2024, раздел 5, стр. 86.</w:t>
            </w:r>
          </w:p>
        </w:tc>
      </w:tr>
      <w:tr w:rsidR="006371D8" w14:paraId="00AA82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817B46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62E2FB" w14:textId="77777777" w:rsidR="006371D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Источник, использованный для составления сценария: «Хроническая сердечная недостаточность. Клинические рекомендации 2024». Общероссийская общественная организация «Российское кардиологическое общество» </w:t>
            </w:r>
            <w:bookmarkStart w:id="14" w:name="fnref1:1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</w:tbl>
    <w:p w14:paraId="284B22BE" w14:textId="77777777" w:rsidR="006371D8" w:rsidRDefault="006371D8"/>
    <w:p w14:paraId="6580AD33" w14:textId="77777777" w:rsidR="006371D8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148166E1" w14:textId="77777777" w:rsidR="006371D8" w:rsidRDefault="002D461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D897F46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354880D" w14:textId="3D14B33B" w:rsidR="006371D8" w:rsidRDefault="00000000">
      <w:pPr>
        <w:numPr>
          <w:ilvl w:val="0"/>
          <w:numId w:val="2"/>
        </w:numPr>
        <w:spacing w:after="210" w:line="360" w:lineRule="auto"/>
      </w:pPr>
      <w:bookmarkStart w:id="15" w:name="fn1"/>
      <w:bookmarkEnd w:id="15"/>
      <w:r>
        <w:rPr>
          <w:rFonts w:ascii="inter" w:eastAsia="inter" w:hAnsi="inter" w:cs="inter"/>
          <w:color w:val="000000"/>
          <w:sz w:val="18"/>
        </w:rPr>
        <w:t xml:space="preserve">Khronicheskaia-serdechnaia-nedostatochnost-2024-1.pdf               </w:t>
      </w:r>
    </w:p>
    <w:sectPr w:rsidR="006371D8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F476F"/>
    <w:multiLevelType w:val="hybridMultilevel"/>
    <w:tmpl w:val="44B2E560"/>
    <w:lvl w:ilvl="0" w:tplc="3956F61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A50C0E4">
      <w:numFmt w:val="decimal"/>
      <w:lvlText w:val=""/>
      <w:lvlJc w:val="left"/>
    </w:lvl>
    <w:lvl w:ilvl="2" w:tplc="8048F0E6">
      <w:numFmt w:val="decimal"/>
      <w:lvlText w:val=""/>
      <w:lvlJc w:val="left"/>
    </w:lvl>
    <w:lvl w:ilvl="3" w:tplc="5E9E47BE">
      <w:numFmt w:val="decimal"/>
      <w:lvlText w:val=""/>
      <w:lvlJc w:val="left"/>
    </w:lvl>
    <w:lvl w:ilvl="4" w:tplc="93AA7954">
      <w:numFmt w:val="decimal"/>
      <w:lvlText w:val=""/>
      <w:lvlJc w:val="left"/>
    </w:lvl>
    <w:lvl w:ilvl="5" w:tplc="0DE0A32E">
      <w:numFmt w:val="decimal"/>
      <w:lvlText w:val=""/>
      <w:lvlJc w:val="left"/>
    </w:lvl>
    <w:lvl w:ilvl="6" w:tplc="9FD2A9E8">
      <w:numFmt w:val="decimal"/>
      <w:lvlText w:val=""/>
      <w:lvlJc w:val="left"/>
    </w:lvl>
    <w:lvl w:ilvl="7" w:tplc="DE341326">
      <w:numFmt w:val="decimal"/>
      <w:lvlText w:val=""/>
      <w:lvlJc w:val="left"/>
    </w:lvl>
    <w:lvl w:ilvl="8" w:tplc="DFFED36C">
      <w:numFmt w:val="decimal"/>
      <w:lvlText w:val=""/>
      <w:lvlJc w:val="left"/>
    </w:lvl>
  </w:abstractNum>
  <w:abstractNum w:abstractNumId="1" w15:restartNumberingAfterBreak="0">
    <w:nsid w:val="29C80B39"/>
    <w:multiLevelType w:val="hybridMultilevel"/>
    <w:tmpl w:val="7AF0BB60"/>
    <w:lvl w:ilvl="0" w:tplc="C0BA1F08">
      <w:numFmt w:val="decimal"/>
      <w:lvlText w:val=""/>
      <w:lvlJc w:val="left"/>
    </w:lvl>
    <w:lvl w:ilvl="1" w:tplc="BBEE2872">
      <w:numFmt w:val="decimal"/>
      <w:lvlText w:val=""/>
      <w:lvlJc w:val="left"/>
    </w:lvl>
    <w:lvl w:ilvl="2" w:tplc="0624F54E">
      <w:numFmt w:val="decimal"/>
      <w:lvlText w:val=""/>
      <w:lvlJc w:val="left"/>
    </w:lvl>
    <w:lvl w:ilvl="3" w:tplc="5E00AAAA">
      <w:numFmt w:val="decimal"/>
      <w:lvlText w:val=""/>
      <w:lvlJc w:val="left"/>
    </w:lvl>
    <w:lvl w:ilvl="4" w:tplc="D9D0B66C">
      <w:numFmt w:val="decimal"/>
      <w:lvlText w:val=""/>
      <w:lvlJc w:val="left"/>
    </w:lvl>
    <w:lvl w:ilvl="5" w:tplc="E4C6006E">
      <w:numFmt w:val="decimal"/>
      <w:lvlText w:val=""/>
      <w:lvlJc w:val="left"/>
    </w:lvl>
    <w:lvl w:ilvl="6" w:tplc="DE3680F8">
      <w:numFmt w:val="decimal"/>
      <w:lvlText w:val=""/>
      <w:lvlJc w:val="left"/>
    </w:lvl>
    <w:lvl w:ilvl="7" w:tplc="205014DC">
      <w:numFmt w:val="decimal"/>
      <w:lvlText w:val=""/>
      <w:lvlJc w:val="left"/>
    </w:lvl>
    <w:lvl w:ilvl="8" w:tplc="A33A69D6">
      <w:numFmt w:val="decimal"/>
      <w:lvlText w:val=""/>
      <w:lvlJc w:val="left"/>
    </w:lvl>
  </w:abstractNum>
  <w:num w:numId="1" w16cid:durableId="812215578">
    <w:abstractNumId w:val="1"/>
  </w:num>
  <w:num w:numId="2" w16cid:durableId="576405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1D8"/>
    <w:rsid w:val="00167D76"/>
    <w:rsid w:val="001D70FA"/>
    <w:rsid w:val="002D461F"/>
    <w:rsid w:val="00352053"/>
    <w:rsid w:val="005A4D41"/>
    <w:rsid w:val="006371D8"/>
    <w:rsid w:val="00A8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16A23FC"/>
  <w15:docId w15:val="{6F6CA022-6FF6-164D-8E0C-5943E568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1100</Words>
  <Characters>6270</Characters>
  <Application>Microsoft Office Word</Application>
  <DocSecurity>0</DocSecurity>
  <Lines>52</Lines>
  <Paragraphs>14</Paragraphs>
  <ScaleCrop>false</ScaleCrop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3</cp:revision>
  <dcterms:created xsi:type="dcterms:W3CDTF">2025-08-18T09:29:00Z</dcterms:created>
  <dcterms:modified xsi:type="dcterms:W3CDTF">2026-01-14T13:45:00Z</dcterms:modified>
</cp:coreProperties>
</file>