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0716" w14:textId="1986F693" w:rsidR="005928F0" w:rsidRDefault="009E4DD4">
      <w:pPr>
        <w:spacing w:before="157" w:after="157" w:line="270" w:lineRule="auto"/>
      </w:pPr>
      <w:r>
        <w:rPr>
          <w:rFonts w:ascii="inter" w:eastAsia="inter" w:hAnsi="inter" w:cs="inter"/>
          <w:noProof/>
          <w:color w:val="000000"/>
        </w:rPr>
        <w:t>7</w:t>
      </w:r>
      <w:r w:rsidR="00D26052">
        <w:rPr>
          <w:rFonts w:ascii="inter" w:eastAsia="inter" w:hAnsi="inter" w:cs="inter"/>
          <w:noProof/>
          <w:color w:val="000000"/>
        </w:rPr>
        <w:t xml:space="preserve">. </w:t>
      </w:r>
    </w:p>
    <w:p w14:paraId="74BF9FBF" w14:textId="77777777" w:rsidR="005928F0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Тема: Диагностика и ведение пациента-вегетарианца с гипертриглицеридемией</w:t>
      </w:r>
    </w:p>
    <w:p w14:paraId="76604A89" w14:textId="77777777" w:rsidR="005928F0" w:rsidRDefault="00F20F0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DF7F9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18560A" w14:textId="77777777" w:rsidR="005928F0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Таблица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94"/>
        <w:gridCol w:w="7510"/>
      </w:tblGrid>
      <w:tr w:rsidR="005928F0" w14:paraId="71A7E9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A9A99B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 шаблона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DC6F55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5928F0" w14:paraId="72834B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28A08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663EC8" w14:textId="507B2816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Пациент, мужчина, 38 лет, вегетарианец последние 6 лет, обратился к терапевту на профилактический осмотр. Жалоб активно не предъявляет. Цель: поставить диагноз, назначить обследование и лечение согласно российским клиническим рекомендациям 2023 "Нарушения липидного обмена". Источник: "Клинические рекомендации Нарушения липидного обмена, утверждены РКО, 2023" (разделы 2, 3, 5 и приложения) [2, стр. 12-47].</w:t>
            </w:r>
          </w:p>
        </w:tc>
      </w:tr>
      <w:tr w:rsidR="005928F0" w14:paraId="53663A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FC871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E968CC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момент обращения жалоб нет. Наличие гипертриглицеридемии выявлено по результатам диспансеризации. Иногда отмечает быструю утомляемость после обильной углеводистой пищи.</w:t>
            </w:r>
          </w:p>
        </w:tc>
      </w:tr>
      <w:tr w:rsidR="005928F0" w14:paraId="23FA58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DD7B3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A8BA28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Повышение триглицеридов (ТГ) впервые выявлено год назад, периодически следил за показателями. Ранее ТГ 2,0–3,0 ммоль/л, сейчас 3,8 ммоль/л (повторные анализы через несколько месяцев — без выраженной динамики). Диеты не придерживался, но красное мясо не употребляет осознанно, употребляет молочные продукты, достаточно фруктов и сладостей, часто — крупяные гарниры, фрукты, выпечку, сухофрукты.</w:t>
            </w:r>
          </w:p>
        </w:tc>
      </w:tr>
      <w:tr w:rsidR="005928F0" w14:paraId="504FD8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4AE30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0B3DD5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Не курит, алкоголь употребляет редко (по словам пациента — не чаще раза в месяц, умеренно). Артериальное давление в пределах нормы. Детские инфекции, операции и хронические заболевания отрицает. В семье по линии отца — инфаркт у деда в 59 лет. Аллергий нет. Работа сидячая, физической активностью занимается урывками, в среднем менее 1 раз в неделю.</w:t>
            </w:r>
          </w:p>
        </w:tc>
      </w:tr>
      <w:tr w:rsidR="005928F0" w14:paraId="124177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E31A7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3390A8" w14:textId="6DA8D248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Вес 79кг, рост 176см, ИМТ 25,5. Окружность талии 92см. Кожные покровы — без особенностей, ксантомы и ксантелазмы не выявлены, липоидная дуга роговицы отсутствует. Сердце: тоны ясные, шумов нет, ритм правильный. Давление 126/78 мм рт.ст. Пульс — 74 в мин</w:t>
            </w:r>
            <w:r w:rsidR="00ED376C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</w:p>
        </w:tc>
      </w:tr>
      <w:tr w:rsidR="005928F0" w14:paraId="6FB05E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98209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1E9113" w14:textId="77777777" w:rsidR="005928F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Дифференциальная диагностика:</w:t>
            </w:r>
          </w:p>
        </w:tc>
      </w:tr>
    </w:tbl>
    <w:p w14:paraId="5C334F3F" w14:textId="77777777" w:rsidR="005928F0" w:rsidRDefault="005928F0"/>
    <w:p w14:paraId="3774085E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Гипертриглицеридемия (</w:t>
      </w:r>
      <w:r w:rsidRPr="00D26052">
        <w:rPr>
          <w:rFonts w:ascii="inter" w:eastAsia="inter" w:hAnsi="inter" w:cs="inter"/>
          <w:i/>
          <w:color w:val="000000"/>
          <w:highlight w:val="yellow"/>
        </w:rPr>
        <w:t>правильный</w:t>
      </w:r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t xml:space="preserve"> (Источник: КР "Нарушения липидного обмена", раздел 1.5–1.6, стр. 11-12. Наиболее вероятна при уровне ТГ больше 2,3)</w:t>
      </w:r>
    </w:p>
    <w:p w14:paraId="7971C7E0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Вторичная гиперлипидемия (в т.ч. связанная с СД, гипотиреозом — </w:t>
      </w:r>
      <w:r w:rsidRPr="00D26052">
        <w:rPr>
          <w:rFonts w:ascii="inter" w:eastAsia="inter" w:hAnsi="inter" w:cs="inter"/>
          <w:color w:val="000000"/>
          <w:highlight w:val="yellow"/>
        </w:rPr>
        <w:t>неправильный</w:t>
      </w:r>
      <w:r>
        <w:rPr>
          <w:rFonts w:ascii="inter" w:eastAsia="inter" w:hAnsi="inter" w:cs="inter"/>
          <w:color w:val="000000"/>
        </w:rPr>
        <w:t>) (Комментарий: показатели гликемии и ТТГ — в норме)</w:t>
      </w:r>
    </w:p>
    <w:p w14:paraId="1D0DD264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Смешанная гиперлипидемия (</w:t>
      </w:r>
      <w:r w:rsidRPr="00D26052">
        <w:rPr>
          <w:rFonts w:ascii="inter" w:eastAsia="inter" w:hAnsi="inter" w:cs="inter"/>
          <w:color w:val="000000"/>
          <w:highlight w:val="yellow"/>
        </w:rPr>
        <w:t>неправильный</w:t>
      </w:r>
      <w:r>
        <w:rPr>
          <w:rFonts w:ascii="inter" w:eastAsia="inter" w:hAnsi="inter" w:cs="inter"/>
          <w:color w:val="000000"/>
        </w:rPr>
        <w:t>) (Комментарий: уровень общего ХС и ХС-ЛНП не превышают целевые значения для пациента данной категории риска)</w:t>
      </w:r>
    </w:p>
    <w:p w14:paraId="364CFD1A" w14:textId="09FDDC48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Метаболический синдром (</w:t>
      </w:r>
      <w:r w:rsidR="00D26052" w:rsidRPr="00ED376C">
        <w:rPr>
          <w:rFonts w:ascii="inter" w:eastAsia="inter" w:hAnsi="inter" w:cs="inter"/>
          <w:color w:val="000000"/>
          <w:highlight w:val="yellow"/>
        </w:rPr>
        <w:t>не</w:t>
      </w:r>
      <w:r w:rsidRPr="00ED376C">
        <w:rPr>
          <w:rFonts w:ascii="inter" w:eastAsia="inter" w:hAnsi="inter" w:cs="inter"/>
          <w:color w:val="000000"/>
          <w:highlight w:val="yellow"/>
        </w:rPr>
        <w:t>правильный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br/>
        <w:t>|</w:t>
      </w:r>
      <w:r>
        <w:rPr>
          <w:rFonts w:ascii="inter" w:eastAsia="inter" w:hAnsi="inter" w:cs="inter"/>
          <w:color w:val="000000"/>
        </w:rPr>
        <w:br/>
        <w:t xml:space="preserve">| </w:t>
      </w:r>
      <w:r>
        <w:rPr>
          <w:rFonts w:ascii="inter" w:eastAsia="inter" w:hAnsi="inter" w:cs="inter"/>
          <w:b/>
          <w:color w:val="000000"/>
        </w:rPr>
        <w:t>Назначение лабораторных исследований</w:t>
      </w:r>
      <w:r>
        <w:rPr>
          <w:rFonts w:ascii="inter" w:eastAsia="inter" w:hAnsi="inter" w:cs="inter"/>
          <w:color w:val="000000"/>
        </w:rPr>
        <w:t xml:space="preserve"> |</w:t>
      </w:r>
    </w:p>
    <w:p w14:paraId="42969FD1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Липидный профиль (</w:t>
      </w:r>
      <w:r w:rsidRPr="00D26052">
        <w:rPr>
          <w:rFonts w:ascii="inter" w:eastAsia="inter" w:hAnsi="inter" w:cs="inter"/>
          <w:i/>
          <w:color w:val="000000"/>
          <w:highlight w:val="yellow"/>
        </w:rPr>
        <w:t>правильно</w:t>
      </w:r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t xml:space="preserve"> (Источник: КР, раздел 2.4, стр. 14. Основной критерий диагностики и мониторинга коррекции дислипидемий).</w:t>
      </w:r>
    </w:p>
    <w:p w14:paraId="277DF8CF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Глюкоза крови и HbA1c (</w:t>
      </w:r>
      <w:r w:rsidRPr="00D26052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 (Источник: КР, раздел 2.4, стр. 14. Необходим для исключения сахарного диабета как причины вторичной ГТГ).</w:t>
      </w:r>
    </w:p>
    <w:p w14:paraId="26BED58C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ТТГ (</w:t>
      </w:r>
      <w:r w:rsidRPr="00D26052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 (Исключение гипотиреоза — вторичная гипертриглицеридемия, КР, раздел 2.4, стр. 14).</w:t>
      </w:r>
    </w:p>
    <w:p w14:paraId="0213261E" w14:textId="4B2C2070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АЛТ, АСТ, КФК, билирубин (правильно) (КР, раздел 2.4, стр. 14).</w:t>
      </w:r>
    </w:p>
    <w:p w14:paraId="33AA009A" w14:textId="3037322D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Анализ мочи ( </w:t>
      </w:r>
      <w:r w:rsidRPr="00D26052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 (Не входит в рутинный спектр при подозрении на первичную ГТГ, КР, раздел 2.4, стр. 14).</w:t>
      </w:r>
      <w:r>
        <w:rPr>
          <w:rFonts w:ascii="inter" w:eastAsia="inter" w:hAnsi="inter" w:cs="inter"/>
          <w:color w:val="000000"/>
        </w:rPr>
        <w:br/>
        <w:t>|</w:t>
      </w:r>
      <w:r>
        <w:rPr>
          <w:rFonts w:ascii="inter" w:eastAsia="inter" w:hAnsi="inter" w:cs="inter"/>
          <w:color w:val="000000"/>
        </w:rPr>
        <w:br/>
        <w:t xml:space="preserve">| </w:t>
      </w:r>
      <w:r>
        <w:rPr>
          <w:rFonts w:ascii="inter" w:eastAsia="inter" w:hAnsi="inter" w:cs="inter"/>
          <w:b/>
          <w:color w:val="000000"/>
        </w:rPr>
        <w:t>Назначение инструментальных исследований</w:t>
      </w:r>
      <w:r>
        <w:rPr>
          <w:rFonts w:ascii="inter" w:eastAsia="inter" w:hAnsi="inter" w:cs="inter"/>
          <w:color w:val="000000"/>
        </w:rPr>
        <w:t xml:space="preserve"> |</w:t>
      </w:r>
    </w:p>
    <w:p w14:paraId="1BE5D42A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Дуплексное сканирование брахиоцефальных артерий (</w:t>
      </w:r>
      <w:r w:rsidRPr="00D26052">
        <w:rPr>
          <w:rFonts w:ascii="inter" w:eastAsia="inter" w:hAnsi="inter" w:cs="inter"/>
          <w:i/>
          <w:color w:val="000000"/>
          <w:highlight w:val="yellow"/>
        </w:rPr>
        <w:t>правильно</w:t>
      </w:r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t>: КР, раздел 2.5, стр. 17. (Рекомендуется всем пациентам с дислипидемией).</w:t>
      </w:r>
    </w:p>
    <w:p w14:paraId="5B090CEC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ЭКГ (</w:t>
      </w:r>
      <w:r w:rsidRPr="00D26052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 — базовый скрининг, КР, раздел 2.5, стр. 17.</w:t>
      </w:r>
    </w:p>
    <w:p w14:paraId="0541A662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КТ-коронароангиография (</w:t>
      </w:r>
      <w:r w:rsidRPr="00D26052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 — только при подозрении на клинически значимый атеросклероз, здесь показаний нет (КР, раздел 2.5, стр. 17).</w:t>
      </w:r>
    </w:p>
    <w:p w14:paraId="4298BF9D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Рентгенография ОГК (</w:t>
      </w:r>
      <w:r w:rsidRPr="00D26052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 — не относится к стандарту при обследовании дислипидемий (КР, раздел 2.5). |</w:t>
      </w:r>
      <w:r>
        <w:rPr>
          <w:rFonts w:ascii="inter" w:eastAsia="inter" w:hAnsi="inter" w:cs="inter"/>
          <w:color w:val="000000"/>
        </w:rPr>
        <w:br/>
        <w:t xml:space="preserve">| </w:t>
      </w:r>
      <w:r>
        <w:rPr>
          <w:rFonts w:ascii="inter" w:eastAsia="inter" w:hAnsi="inter" w:cs="inter"/>
          <w:b/>
          <w:color w:val="000000"/>
        </w:rPr>
        <w:t>Оценка данных лабораторных исследований</w:t>
      </w:r>
      <w:r>
        <w:rPr>
          <w:rFonts w:ascii="inter" w:eastAsia="inter" w:hAnsi="inter" w:cs="inter"/>
          <w:color w:val="000000"/>
        </w:rPr>
        <w:t xml:space="preserve"> |</w:t>
      </w:r>
    </w:p>
    <w:p w14:paraId="78FBC4D8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Липидограмма:</w:t>
      </w:r>
    </w:p>
    <w:p w14:paraId="6DBB985D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ТГ — 3,8 ммоль/л (↑)</w:t>
      </w:r>
    </w:p>
    <w:p w14:paraId="50D11867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ОХС — 5,0 ммоль/л (N)</w:t>
      </w:r>
    </w:p>
    <w:p w14:paraId="00A20190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ХС-ЛНП — 2,6 ммоль/л (N)</w:t>
      </w:r>
    </w:p>
    <w:p w14:paraId="62229221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ХС-ЛВП — 1,1 ммоль/л (нижняя граница нормы для мужчин)</w:t>
      </w:r>
    </w:p>
    <w:p w14:paraId="634CEB42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Глюкоза — 5,2 ммоль/л</w:t>
      </w:r>
    </w:p>
    <w:p w14:paraId="18EA1E2B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HbA1c — 5,7%</w:t>
      </w:r>
    </w:p>
    <w:p w14:paraId="68940D45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ТТГ — 2,0 мкМЕ/мл</w:t>
      </w:r>
    </w:p>
    <w:p w14:paraId="12CDEC02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АЛТ, АСТ — в пределах нормы</w:t>
      </w:r>
    </w:p>
    <w:p w14:paraId="00E3B756" w14:textId="77777777" w:rsidR="005928F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КФК — норма</w:t>
      </w:r>
      <w:r>
        <w:rPr>
          <w:rFonts w:ascii="inter" w:eastAsia="inter" w:hAnsi="inter" w:cs="inter"/>
          <w:color w:val="000000"/>
        </w:rPr>
        <w:br/>
        <w:t>|</w:t>
      </w:r>
      <w:r>
        <w:rPr>
          <w:rFonts w:ascii="inter" w:eastAsia="inter" w:hAnsi="inter" w:cs="inter"/>
          <w:color w:val="000000"/>
        </w:rPr>
        <w:br/>
        <w:t xml:space="preserve">| </w:t>
      </w:r>
      <w:r>
        <w:rPr>
          <w:rFonts w:ascii="inter" w:eastAsia="inter" w:hAnsi="inter" w:cs="inter"/>
          <w:b/>
          <w:color w:val="000000"/>
        </w:rPr>
        <w:t>Оценка данных инструментальных исследований</w:t>
      </w:r>
      <w:r>
        <w:rPr>
          <w:rFonts w:ascii="inter" w:eastAsia="inter" w:hAnsi="inter" w:cs="inter"/>
          <w:color w:val="000000"/>
        </w:rPr>
        <w:t xml:space="preserve"> |</w:t>
      </w:r>
    </w:p>
    <w:p w14:paraId="3AFD10F8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Дуплексное сканирование БКА: признаков выраженного атеросклероза нет (минимальные стенозы &lt;30%, без гемодинамически значимых изменений).</w:t>
      </w:r>
    </w:p>
    <w:p w14:paraId="2AE52E25" w14:textId="1DFA722C" w:rsidR="006D5E93" w:rsidRPr="006D5E9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ЭКГ: синусовый ритм</w:t>
      </w:r>
      <w:r w:rsidR="006D5E93">
        <w:rPr>
          <w:rFonts w:ascii="inter" w:eastAsia="inter" w:hAnsi="inter" w:cs="inter"/>
          <w:color w:val="000000"/>
        </w:rPr>
        <w:t xml:space="preserve">. Патологических изменений нет. </w:t>
      </w:r>
    </w:p>
    <w:p w14:paraId="1980D2D0" w14:textId="70283B6F" w:rsidR="005928F0" w:rsidRDefault="006D5E93">
      <w:pPr>
        <w:numPr>
          <w:ilvl w:val="0"/>
          <w:numId w:val="1"/>
        </w:numPr>
        <w:spacing w:before="105" w:after="105" w:line="360" w:lineRule="auto"/>
      </w:pPr>
      <w:r w:rsidRPr="006D5E93">
        <w:rPr>
          <w:rFonts w:ascii="inter" w:eastAsia="inter" w:hAnsi="inter" w:cs="inter"/>
          <w:noProof/>
          <w:color w:val="000000"/>
        </w:rPr>
        <w:drawing>
          <wp:inline distT="0" distB="0" distL="0" distR="0" wp14:anchorId="527CFE92" wp14:editId="04E995E2">
            <wp:extent cx="5163437" cy="2577375"/>
            <wp:effectExtent l="0" t="0" r="0" b="1270"/>
            <wp:docPr id="22893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8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71" cy="258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  <w:t xml:space="preserve">| </w:t>
      </w:r>
      <w:r>
        <w:rPr>
          <w:rFonts w:ascii="inter" w:eastAsia="inter" w:hAnsi="inter" w:cs="inter"/>
          <w:b/>
          <w:color w:val="000000"/>
        </w:rPr>
        <w:t>Клинический диагноз</w:t>
      </w:r>
      <w:r>
        <w:rPr>
          <w:rFonts w:ascii="inter" w:eastAsia="inter" w:hAnsi="inter" w:cs="inter"/>
          <w:color w:val="000000"/>
        </w:rPr>
        <w:t xml:space="preserve">  |</w:t>
      </w:r>
    </w:p>
    <w:p w14:paraId="7E2436E6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Гипертриглицеридемия алиментарно-конституционального типа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i/>
          <w:color w:val="000000"/>
        </w:rPr>
        <w:t>(</w:t>
      </w:r>
      <w:r w:rsidRPr="00D26052">
        <w:rPr>
          <w:rFonts w:ascii="inter" w:eastAsia="inter" w:hAnsi="inter" w:cs="inter"/>
          <w:i/>
          <w:color w:val="000000"/>
          <w:highlight w:val="yellow"/>
        </w:rPr>
        <w:t>правильный</w:t>
      </w:r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t xml:space="preserve"> (Источник: КР, раздел 1.2, 1.5, стр. 7, 11. Учитывая диету и отсутствие вторичных причин — алиментарно-конституциональная форма вероятна).</w:t>
      </w:r>
    </w:p>
    <w:p w14:paraId="4E5AFE61" w14:textId="2289B6F6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Нарушение обмена липидов у вегетарианца (</w:t>
      </w:r>
      <w:r w:rsidR="00D26052" w:rsidRPr="00D26052">
        <w:rPr>
          <w:rFonts w:ascii="inter" w:eastAsia="inter" w:hAnsi="inter" w:cs="inter"/>
          <w:color w:val="000000"/>
          <w:highlight w:val="yellow"/>
        </w:rPr>
        <w:t>правильно</w:t>
      </w:r>
      <w:r w:rsidR="00D26052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указание на образ жизни)</w:t>
      </w:r>
    </w:p>
    <w:p w14:paraId="13DDAD93" w14:textId="66A99B7C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Метаболический синдром (</w:t>
      </w:r>
      <w:r w:rsidR="00D26052" w:rsidRPr="00D26052">
        <w:rPr>
          <w:rFonts w:ascii="inter" w:eastAsia="inter" w:hAnsi="inter" w:cs="inter"/>
          <w:color w:val="000000"/>
          <w:highlight w:val="yellow"/>
        </w:rPr>
        <w:t>неправильный</w:t>
      </w:r>
      <w:r w:rsidR="00D26052">
        <w:rPr>
          <w:rFonts w:ascii="inter" w:eastAsia="inter" w:hAnsi="inter" w:cs="inter"/>
          <w:color w:val="000000"/>
        </w:rPr>
        <w:t>, поскольку нет абдоминального ожирения</w:t>
      </w:r>
      <w:r>
        <w:rPr>
          <w:rFonts w:ascii="inter" w:eastAsia="inter" w:hAnsi="inter" w:cs="inter"/>
          <w:color w:val="000000"/>
        </w:rPr>
        <w:t>).</w:t>
      </w:r>
      <w:r>
        <w:rPr>
          <w:rFonts w:ascii="inter" w:eastAsia="inter" w:hAnsi="inter" w:cs="inter"/>
          <w:color w:val="000000"/>
        </w:rPr>
        <w:br/>
        <w:t>|</w:t>
      </w:r>
      <w:r>
        <w:rPr>
          <w:rFonts w:ascii="inter" w:eastAsia="inter" w:hAnsi="inter" w:cs="inter"/>
          <w:color w:val="000000"/>
        </w:rPr>
        <w:br/>
        <w:t xml:space="preserve">| </w:t>
      </w:r>
      <w:r>
        <w:rPr>
          <w:rFonts w:ascii="inter" w:eastAsia="inter" w:hAnsi="inter" w:cs="inter"/>
          <w:b/>
          <w:color w:val="000000"/>
        </w:rPr>
        <w:t>Лечение</w:t>
      </w:r>
      <w:r>
        <w:rPr>
          <w:rFonts w:ascii="inter" w:eastAsia="inter" w:hAnsi="inter" w:cs="inter"/>
          <w:color w:val="000000"/>
        </w:rPr>
        <w:t xml:space="preserve">  |</w:t>
      </w:r>
    </w:p>
    <w:p w14:paraId="3A58AE2E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Изменение образа жизни (ограничение простых углеводов, уменьшение сладостей, контроль гликемического индекса пищи) (</w:t>
      </w:r>
      <w:r w:rsidRPr="00D26052">
        <w:rPr>
          <w:rFonts w:ascii="inter" w:eastAsia="inter" w:hAnsi="inter" w:cs="inter"/>
          <w:i/>
          <w:color w:val="000000"/>
          <w:highlight w:val="yellow"/>
        </w:rPr>
        <w:t>правильно</w:t>
      </w:r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t xml:space="preserve"> (Источник: КР, раздел 3.2, стр. 20-21, приложение Б4, табл. Б4/2). Комментарий: основной немедикаментозный подход при ГТГ у вегетарианцев и лиц с алиментарной ГТГ.</w:t>
      </w:r>
    </w:p>
    <w:p w14:paraId="771EE304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Увеличение физической активности (</w:t>
      </w:r>
      <w:r w:rsidRPr="00D26052">
        <w:rPr>
          <w:rFonts w:ascii="inter" w:eastAsia="inter" w:hAnsi="inter" w:cs="inter"/>
          <w:i/>
          <w:color w:val="000000"/>
          <w:highlight w:val="yellow"/>
        </w:rPr>
        <w:t>правильно</w:t>
      </w:r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t xml:space="preserve"> (КР, раздел 3.2, табл. Б4/2, приложение Б4).</w:t>
      </w:r>
    </w:p>
    <w:p w14:paraId="76F7F527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Отказ от алкоголя (</w:t>
      </w:r>
      <w:r w:rsidRPr="00D26052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 (КР, раздел 3.2, табл. Б4/2. Даже небольшие дозы провоцируют рост ТГ).</w:t>
      </w:r>
    </w:p>
    <w:p w14:paraId="2184DE2B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Статины (</w:t>
      </w:r>
      <w:r w:rsidRPr="00D26052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 — не показаны при изолированной ГТГ без высокого ХС-ЛНП и без признаков атеросклероза (см. КР, табл. 1 Б4/1).</w:t>
      </w:r>
    </w:p>
    <w:p w14:paraId="014BDAFC" w14:textId="696C7AA5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Фибраты, омега-3 жирные кислоты (</w:t>
      </w:r>
      <w:r w:rsidR="00D26052" w:rsidRPr="00D26052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; у данного пациента целесообразно рассмотреть только при неэффективности коррекции питания, КР, раздел 3.3.4, стр. 29).</w:t>
      </w:r>
    </w:p>
    <w:p w14:paraId="561CB456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Сахароснижающие препараты (</w:t>
      </w:r>
      <w:r w:rsidRPr="00D26052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 — при отсутствии признаков СД противопоказаны (КР, раздел 3.5, стр. 35)</w:t>
      </w:r>
      <w:r>
        <w:rPr>
          <w:rFonts w:ascii="inter" w:eastAsia="inter" w:hAnsi="inter" w:cs="inter"/>
          <w:color w:val="000000"/>
        </w:rPr>
        <w:br/>
        <w:t>|</w:t>
      </w:r>
      <w:r>
        <w:rPr>
          <w:rFonts w:ascii="inter" w:eastAsia="inter" w:hAnsi="inter" w:cs="inter"/>
          <w:color w:val="000000"/>
        </w:rPr>
        <w:br/>
        <w:t xml:space="preserve">| </w:t>
      </w:r>
      <w:r>
        <w:rPr>
          <w:rFonts w:ascii="inter" w:eastAsia="inter" w:hAnsi="inter" w:cs="inter"/>
          <w:b/>
          <w:color w:val="000000"/>
        </w:rPr>
        <w:t>Диспансеризация</w:t>
      </w:r>
      <w:r>
        <w:rPr>
          <w:rFonts w:ascii="inter" w:eastAsia="inter" w:hAnsi="inter" w:cs="inter"/>
          <w:color w:val="000000"/>
        </w:rPr>
        <w:t xml:space="preserve">  |</w:t>
      </w:r>
    </w:p>
    <w:p w14:paraId="263F2954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Контроль липидного профиля через 8–12 недель после немедикаментозных мероприятий (</w:t>
      </w:r>
      <w:r w:rsidRPr="00D26052">
        <w:rPr>
          <w:rFonts w:ascii="inter" w:eastAsia="inter" w:hAnsi="inter" w:cs="inter"/>
          <w:i/>
          <w:color w:val="000000"/>
          <w:highlight w:val="yellow"/>
        </w:rPr>
        <w:t>правильно</w:t>
      </w:r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t xml:space="preserve"> (КР, раздел 5, стр. 44, приложение Б4).</w:t>
      </w:r>
    </w:p>
    <w:p w14:paraId="6021318A" w14:textId="77777777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Дальнейший мониторинг: ежегодно при стабильных результатах (</w:t>
      </w:r>
      <w:r w:rsidRPr="00D26052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 (КР, раздел 5, стр. 48).</w:t>
      </w:r>
    </w:p>
    <w:p w14:paraId="7476538C" w14:textId="639C50B8" w:rsidR="005928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Частый контроль (ежемесячно) — </w:t>
      </w:r>
      <w:r w:rsidRPr="00D26052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 xml:space="preserve">, </w:t>
      </w:r>
      <w:r w:rsidR="00C01517">
        <w:rPr>
          <w:rFonts w:ascii="inter" w:eastAsia="inter" w:hAnsi="inter" w:cs="inter"/>
          <w:color w:val="000000"/>
        </w:rPr>
        <w:t xml:space="preserve">т. к. </w:t>
      </w:r>
      <w:r>
        <w:rPr>
          <w:rFonts w:ascii="inter" w:eastAsia="inter" w:hAnsi="inter" w:cs="inter"/>
          <w:color w:val="000000"/>
        </w:rPr>
        <w:t xml:space="preserve"> не проводится медикаментозное лечение (КР, раздел 5, стр. 48).</w:t>
      </w:r>
      <w:r>
        <w:rPr>
          <w:rFonts w:ascii="inter" w:eastAsia="inter" w:hAnsi="inter" w:cs="inter"/>
          <w:color w:val="000000"/>
        </w:rPr>
        <w:br/>
        <w:t>|</w:t>
      </w:r>
      <w:r>
        <w:rPr>
          <w:rFonts w:ascii="inter" w:eastAsia="inter" w:hAnsi="inter" w:cs="inter"/>
          <w:color w:val="000000"/>
        </w:rPr>
        <w:br/>
        <w:t xml:space="preserve">| </w:t>
      </w:r>
      <w:r>
        <w:rPr>
          <w:rFonts w:ascii="inter" w:eastAsia="inter" w:hAnsi="inter" w:cs="inter"/>
          <w:b/>
          <w:color w:val="000000"/>
        </w:rPr>
        <w:t>Дополнительная информация</w:t>
      </w:r>
      <w:r>
        <w:rPr>
          <w:rFonts w:ascii="inter" w:eastAsia="inter" w:hAnsi="inter" w:cs="inter"/>
          <w:color w:val="000000"/>
        </w:rPr>
        <w:t xml:space="preserve">  |</w:t>
      </w:r>
      <w:r>
        <w:rPr>
          <w:rFonts w:ascii="inter" w:eastAsia="inter" w:hAnsi="inter" w:cs="inter"/>
          <w:color w:val="000000"/>
        </w:rPr>
        <w:br/>
        <w:t>Клинические рекомендации «Нарушения липидного обмена», РКО, 2023 год: разделы 1, 2, 3, 5; приложения А3 и Б4 (стр. 5–97 документа). Доступны на сайте РКО/Министерства здравоохранения РФ. |</w:t>
      </w:r>
    </w:p>
    <w:p w14:paraId="7A700895" w14:textId="77777777" w:rsidR="005928F0" w:rsidRDefault="00F20F0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DBE63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192ABC" w14:textId="77777777" w:rsidR="005928F0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5928F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1E3E"/>
    <w:multiLevelType w:val="hybridMultilevel"/>
    <w:tmpl w:val="D85E22B2"/>
    <w:lvl w:ilvl="0" w:tplc="89D052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4EB62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7B69CB2">
      <w:numFmt w:val="decimal"/>
      <w:lvlText w:val=""/>
      <w:lvlJc w:val="left"/>
    </w:lvl>
    <w:lvl w:ilvl="3" w:tplc="F904B77A">
      <w:numFmt w:val="decimal"/>
      <w:lvlText w:val=""/>
      <w:lvlJc w:val="left"/>
    </w:lvl>
    <w:lvl w:ilvl="4" w:tplc="6BD2EF10">
      <w:numFmt w:val="decimal"/>
      <w:lvlText w:val=""/>
      <w:lvlJc w:val="left"/>
    </w:lvl>
    <w:lvl w:ilvl="5" w:tplc="DB8E64F2">
      <w:numFmt w:val="decimal"/>
      <w:lvlText w:val=""/>
      <w:lvlJc w:val="left"/>
    </w:lvl>
    <w:lvl w:ilvl="6" w:tplc="EF8680C2">
      <w:numFmt w:val="decimal"/>
      <w:lvlText w:val=""/>
      <w:lvlJc w:val="left"/>
    </w:lvl>
    <w:lvl w:ilvl="7" w:tplc="1C62226C">
      <w:numFmt w:val="decimal"/>
      <w:lvlText w:val=""/>
      <w:lvlJc w:val="left"/>
    </w:lvl>
    <w:lvl w:ilvl="8" w:tplc="F7B6B12A">
      <w:numFmt w:val="decimal"/>
      <w:lvlText w:val=""/>
      <w:lvlJc w:val="left"/>
    </w:lvl>
  </w:abstractNum>
  <w:num w:numId="1" w16cid:durableId="205804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8F0"/>
    <w:rsid w:val="00167D76"/>
    <w:rsid w:val="00472566"/>
    <w:rsid w:val="005928F0"/>
    <w:rsid w:val="006D5E93"/>
    <w:rsid w:val="009E4DD4"/>
    <w:rsid w:val="00AE3730"/>
    <w:rsid w:val="00C01517"/>
    <w:rsid w:val="00D26052"/>
    <w:rsid w:val="00E64D96"/>
    <w:rsid w:val="00ED376C"/>
    <w:rsid w:val="00F20F04"/>
    <w:rsid w:val="00F5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5A1E7FF6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2025-08-15T18:57:00Z</dcterms:created>
  <dcterms:modified xsi:type="dcterms:W3CDTF">2026-01-14T08:54:00Z</dcterms:modified>
</cp:coreProperties>
</file>