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BF17" w14:textId="33CE3898" w:rsidR="00CC3046" w:rsidRDefault="00B72D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Сценарий </w:t>
      </w:r>
      <w:r w:rsidR="00465C3E">
        <w:rPr>
          <w:rFonts w:ascii="inter" w:eastAsia="inter" w:hAnsi="inter" w:cs="inter"/>
          <w:b/>
          <w:color w:val="000000"/>
          <w:sz w:val="24"/>
        </w:rPr>
        <w:t xml:space="preserve">7. </w:t>
      </w:r>
      <w:r>
        <w:rPr>
          <w:rFonts w:ascii="inter" w:eastAsia="inter" w:hAnsi="inter" w:cs="inter"/>
          <w:b/>
          <w:color w:val="000000"/>
          <w:sz w:val="24"/>
        </w:rPr>
        <w:t>Пожилой пациент с артериальной гипертензией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1"/>
        <w:gridCol w:w="7583"/>
      </w:tblGrid>
      <w:tr w:rsidR="00465C3E" w14:paraId="16C2D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0CBF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3DB12C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465C3E" w14:paraId="48B8B0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E0570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038236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мужчина, 75 лет, обратился на плановый амбулаторный приём к врачу-кардиологу.</w:t>
            </w:r>
          </w:p>
          <w:p w14:paraId="77A73A5D" w14:textId="77777777" w:rsidR="00CC3046" w:rsidRDefault="00CC3046"/>
          <w:p w14:paraId="6576FF70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установить развёрнутый клинический диагноз, оценить сердечно-сосудистый риск и назначить адекватную терапию.</w:t>
            </w:r>
          </w:p>
          <w:p w14:paraId="21325D0E" w14:textId="77777777" w:rsidR="00CC3046" w:rsidRDefault="00CC3046"/>
          <w:p w14:paraId="2428B51C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«Артериальная гипертония у взрослых. Клинические рекомендации 2024». Российское кардиологическое общество.</w:t>
            </w:r>
          </w:p>
        </w:tc>
      </w:tr>
      <w:tr w:rsidR="00465C3E" w14:paraId="5A2587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96EE7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008CC7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 периодические давящие головные боли в затылочной области, возникающие при повышении артериального давления (АД), головокружение, общую слабость и повышенную утомляемость. Отрицает наличие болей в грудной клетке, одышки, перебоев в работе сердца.</w:t>
            </w:r>
          </w:p>
        </w:tc>
      </w:tr>
      <w:tr w:rsidR="00465C3E" w14:paraId="237F93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312CC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850E39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больным в течение последних 10 лет, когда впервые были зафиксированы подъемы АД до 180/100 мм рт. ст. Назначен лизиноприл 10 мг в сутки, который принимает нерегулярно, в основном «когда болит голова». Систематический контроль АД на дому не проводит.</w:t>
            </w:r>
          </w:p>
        </w:tc>
      </w:tr>
      <w:tr w:rsidR="00465C3E" w14:paraId="58D92C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BF42F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13ACCE" w14:textId="4D2EED36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Курил в течение 30 лет по одной пачке в день, бросил 10 лет назад. Наследственность отягощена: отец умер от инсульта в возрасте 60 лет. Ведет малоподвижный образ жизни. Аллергологический анамнез не отягощен. Индекс массы тела 31 кг/м².</w:t>
            </w:r>
          </w:p>
        </w:tc>
      </w:tr>
      <w:tr w:rsidR="00465C3E" w14:paraId="6C9035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5F03B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2DC94B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физиологической окраски. Периферических отеков нет. Пульс 78 ударов в минуту, ритмичный. АД на правой руке — 175/98 мм рт. ст., на левой — 172/95 мм рт. ст. Аускультативно тоны сердца приглушены, ритм правильный, акцент II тона над аортой. В легких дыхание везикулярное, хрипов нет.</w:t>
            </w:r>
          </w:p>
        </w:tc>
      </w:tr>
      <w:tr w:rsidR="00465C3E" w14:paraId="17D0C0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0BDD2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5F112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верный предварительный диагноз из списка: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220CB7" w14:textId="77777777" w:rsidR="00CC3046" w:rsidRDefault="00CC3046"/>
          <w:p w14:paraId="104E9283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III стадии. Риск 4 (очень высокий).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315770C0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основан на наличии у пациента ассоциированного клинического состояния (перенесенный инфаркт миокарда), что автоматически определяет III стадию заболевания и очень высокий сердечно-сосудистый риск (4) 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28D4255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1.5, стр. 18, 21.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365C6C" w14:textId="77777777" w:rsidR="00CC3046" w:rsidRDefault="00CC3046"/>
          <w:p w14:paraId="40844ECA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 стадии. Риск 3 (высокий).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2ECF64A9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Неверно, так как наличие в анамнезе инфаркта миокарда классифицирует стадию ГБ как III, а не II </w:t>
            </w:r>
            <w:bookmarkStart w:id="1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5556356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1.5, стр. 21.</w:t>
            </w:r>
          </w:p>
        </w:tc>
      </w:tr>
      <w:tr w:rsidR="00465C3E" w14:paraId="01D5EC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5469C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52A0DE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исследования: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2F24874" w14:textId="77777777" w:rsidR="00CC3046" w:rsidRDefault="00CC3046"/>
          <w:p w14:paraId="33D261E2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крови, биохимический анализ крови (креатинин с расчетом СКФ, глюкоза, калий, натрий, мочевая кислота), липидограмма, общий анализ мочи с определением соотношения альбумин/креатинин.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2901E97A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Данный комплекс исследований является рутинным и обязательным для оценки поражения органов-мишеней (ПОМ) и стратификации риска у всех пациентов с АГ </w:t>
            </w:r>
            <w:bookmarkStart w:id="2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966C702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2.7, стр. 31–33, Таблица П7/А3, стр. 179.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6ED81D4" w14:textId="77777777" w:rsidR="00CC3046" w:rsidRDefault="00CC3046"/>
          <w:p w14:paraId="609A5D4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ТТГ.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1CF986FF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 является рутинным исследованием при АГ. Назначается только при наличии клинических признаков, позволяющих заподозрить патологию щитовидной железы как вторичную причину АГ, которых у данного пациента нет 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BBCB76F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2.1, Таблица П5, стр. 170.</w:t>
            </w:r>
          </w:p>
        </w:tc>
      </w:tr>
      <w:tr w:rsidR="00465C3E" w14:paraId="5491C5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14AF2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34D0ED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исследования: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33FE89B" w14:textId="77777777" w:rsidR="00CC3046" w:rsidRDefault="00CC3046"/>
          <w:p w14:paraId="55CB6F11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отведениях, Эхокардиография, Дуплексное сканирование брахиоцефальных артерий.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7870BEDB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ЭКГ и ЭхоКГ необходимы для выявления ГЛЖ и оценки структуры сердца. УЗИ брахиоцефальных артерий рекомендовано для выявления атеросклеротических бляшек у мужчин старше 40 лет и у пациентов с высоким риском 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56D60A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2.8, стр. 34–35.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65E087C" w14:textId="77777777" w:rsidR="00CC3046" w:rsidRDefault="00CC3046"/>
          <w:p w14:paraId="7078687E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Коронароангиография.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564D95BE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Инвазивная процедура, которая не показана стабильному пациенту без симптомов стенокардии. Данное исследование не используется для скрининга 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76907B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3.6.3, стр. 57.</w:t>
            </w:r>
          </w:p>
        </w:tc>
      </w:tr>
      <w:tr w:rsidR="00465C3E" w14:paraId="334CEA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4B0A0" w14:textId="6FF3D9C9" w:rsidR="00CC3046" w:rsidRDefault="00F12C3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</w:t>
            </w:r>
            <w:r w:rsidR="00B72D4C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B72D4C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8D461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существенных отклонений.</w:t>
            </w:r>
          </w:p>
          <w:p w14:paraId="78C83014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Глюкоза натощак — 6,2 ммоль/л. Креатинин — 110 мкмоль/л (СКФ по CKD-EPI 58 мл/мин/1.73м²). Калий — 4,2 ммоль/л.</w:t>
            </w:r>
          </w:p>
          <w:p w14:paraId="32E95ADD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Общий холестерин — 5,8 ммоль/л, ЛПНП — 3,5 ммоль/л.</w:t>
            </w:r>
          </w:p>
          <w:p w14:paraId="3D4FA3D5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мочи: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Соотношение альбумин/креатинин — 45 мг/г (микроальбуминурия).</w:t>
            </w:r>
          </w:p>
        </w:tc>
      </w:tr>
      <w:tr w:rsidR="00465C3E" w14:paraId="26F33D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0012F" w14:textId="67CC8E6E" w:rsidR="00CC3046" w:rsidRDefault="00F12C3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</w:t>
            </w:r>
            <w:r w:rsidR="00B72D4C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B72D4C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FA3D31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13E007E" w14:textId="6316EABC" w:rsidR="00CC3046" w:rsidRDefault="00B72D4C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Заключение по 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Синусовый ритм, ЧСС 75 уд/мин. Признаки гипертрофии левого желудочка (ГЛЖ) с изменениями миокарда в виде депрессии сегмента ST и инверсии зубца Т в боковых отведениях (I, aVL, V</w:t>
            </w:r>
            <w:r w:rsidR="00465C3E">
              <w:rPr>
                <w:rFonts w:ascii="inter" w:eastAsia="inter" w:hAnsi="inter" w:cs="inter"/>
                <w:color w:val="000000"/>
                <w:sz w:val="17"/>
              </w:rPr>
              <w:t>3</w:t>
            </w:r>
            <w:r>
              <w:rPr>
                <w:rFonts w:ascii="inter" w:eastAsia="inter" w:hAnsi="inter" w:cs="inter"/>
                <w:color w:val="000000"/>
                <w:sz w:val="17"/>
              </w:rPr>
              <w:t>-V6).</w:t>
            </w:r>
          </w:p>
          <w:p w14:paraId="41C3F4CB" w14:textId="5F69DD12" w:rsidR="00465C3E" w:rsidRDefault="00465C3E">
            <w:pPr>
              <w:spacing w:line="360" w:lineRule="auto"/>
            </w:pPr>
            <w:r w:rsidRPr="00465C3E">
              <w:rPr>
                <w:noProof/>
              </w:rPr>
              <w:drawing>
                <wp:inline distT="0" distB="0" distL="0" distR="0" wp14:anchorId="7B52D79F" wp14:editId="5EBBA6EB">
                  <wp:extent cx="4606560" cy="2373517"/>
                  <wp:effectExtent l="0" t="0" r="3810" b="1905"/>
                  <wp:docPr id="13735402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402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550" cy="2393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59865" w14:textId="77777777" w:rsidR="00CC3046" w:rsidRDefault="00CC3046"/>
          <w:p w14:paraId="05D4447E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Концентрическая ГЛЖ (индекс массы миокарда 125 г/м²). ФВ ЛЖ — 55%. Диастолическая дисфункция 1 типа.</w:t>
            </w:r>
          </w:p>
          <w:p w14:paraId="3B545B88" w14:textId="77777777" w:rsidR="00CC3046" w:rsidRDefault="00CC3046"/>
          <w:p w14:paraId="2E484E5E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УЗИ брахиоцефальных артерий: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Атеросклеротические бляшки, стенозирующие просвет до 30%.</w:t>
            </w:r>
          </w:p>
        </w:tc>
      </w:tr>
      <w:tr w:rsidR="00465C3E" w14:paraId="17B531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91B53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EA21FC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Сформулируйте окончательный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B268A6D" w14:textId="77777777" w:rsidR="00CC3046" w:rsidRDefault="00CC3046"/>
          <w:p w14:paraId="5099552F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III стадии. АГ 2 степени. Ассоциированные клинические состояния: ИБС, постинфарктный кардиосклероз. ХСН I, ФК II. Атеросклероз брахиоцефальных артерий. ХБП С3аА2. Дислипидемия. Риск 4 (очень высокий).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2565C0E5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полностью отражает стадию, степень АГ, все ПОМ и ассоциированные состояния, а также категорию риска в соответствии с рекомендациями </w:t>
            </w:r>
            <w:bookmarkStart w:id="6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BA5DC5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2.2, стр. 25.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502FCED" w14:textId="77777777" w:rsidR="00CC3046" w:rsidRDefault="00CC3046"/>
          <w:p w14:paraId="4EADEB96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III стадии. Резистентная артериальная гипертензия.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0133AB05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резистентной АГ неправомерен, так как пациент не получал оптимальную трехкомпонентную терапию и был не привержен лечению </w:t>
            </w:r>
            <w:bookmarkStart w:id="7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63483E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3.6.11, стр. 67.</w:t>
            </w:r>
          </w:p>
        </w:tc>
      </w:tr>
      <w:tr w:rsidR="00465C3E" w14:paraId="6BAB44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2693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CB545A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оптимальную тактику лечения: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E6FAD5A" w14:textId="77777777" w:rsidR="00CC3046" w:rsidRDefault="00CC3046"/>
          <w:p w14:paraId="4D5A396D" w14:textId="3A0F224C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стартовую двойную комбинированную терапию в одной таблетке (иАПФ + антагонист кальция), высокоинтенсивную статинотерапию (аторвастатин 80 мг или розувастатин 40 мг). Рекомендовать модификацию образа жизни и самоконтроль АД.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1959DB73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Для большинства пациентов, особенно с высоким риском, рекомендована стартовая комбинированная терапия. Комбинация иАПФ + АК является одной из предпочтительных. Высокоинтенсивная статинотерапия обязательна у пациентов очень высокого риска </w:t>
            </w:r>
            <w:bookmarkStart w:id="8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7447DE1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3.4.1, стр. 43; Раздел 3.6.3, стр. 57.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99DF5EF" w14:textId="77777777" w:rsidR="00CC3046" w:rsidRDefault="00CC3046"/>
          <w:p w14:paraId="0BF09976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Увеличить дозу лизиноприла до 20 мг и добавить бета-блокатор (Бисопролол 5 мг).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283BE9DC" w14:textId="7CAAC722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Неоптимальная тактика. </w:t>
            </w:r>
            <w:r w:rsidRPr="00106DD1">
              <w:rPr>
                <w:rFonts w:ascii="inter" w:eastAsia="inter" w:hAnsi="inter" w:cs="inter"/>
                <w:i/>
                <w:sz w:val="17"/>
              </w:rPr>
              <w:t xml:space="preserve">Бета-блокаторы не являются препаратами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первого ряда для лечения неосложненной АГ (при отсутствии стенокардии, тахикардии, ХСН со сниженной ФВ). Также проигнорирована необходимость назначения статинов </w:t>
            </w:r>
            <w:bookmarkStart w:id="9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D8753EC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3.4.2, стр. 49.</w:t>
            </w:r>
          </w:p>
        </w:tc>
      </w:tr>
      <w:tr w:rsidR="00465C3E" w14:paraId="506419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56BD3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B6371F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Определите план наблюдения: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6D8651" w14:textId="77777777" w:rsidR="00CC3046" w:rsidRDefault="00CC3046"/>
          <w:p w14:paraId="68C69409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Повторный визит через 1 месяц для оценки эффективности и переносимости терапии. Контроль биохимических показателей (креатинин, калий, липиды) через 1-2 месяца.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252A097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План соответствует рекомендациям по наблюдению за пациентами после начала или изменения антигипертензивной терапии </w:t>
            </w:r>
            <w:bookmarkStart w:id="10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8B9FF28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5, стр. 100.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7E9511" w14:textId="77777777" w:rsidR="00CC3046" w:rsidRDefault="00CC3046"/>
          <w:p w14:paraId="7D29B0D2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Повторный визит через 6 месяцев.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465C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43716E09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Слишком длительный интервал для пациента очень высокого риска с впервые назначенной комбинированной терапией. Необходим более ранний контроль для своевременной коррекции лечения </w:t>
            </w:r>
            <w:bookmarkStart w:id="11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9731F3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гипертония у взрослых, 2024, Раздел 5, стр. 100.</w:t>
            </w:r>
          </w:p>
        </w:tc>
      </w:tr>
      <w:tr w:rsidR="00465C3E" w14:paraId="0DEA68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64EF5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7FE112" w14:textId="77777777" w:rsidR="00CC3046" w:rsidRDefault="00B72D4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Сценарий составлен на основе клинических рекомендаций «Артериальная гипертония у взрослых», 2024 г., утвержденных Минздравом РФ.</w:t>
            </w:r>
          </w:p>
        </w:tc>
      </w:tr>
    </w:tbl>
    <w:p w14:paraId="74A86AE2" w14:textId="77777777" w:rsidR="00CC3046" w:rsidRDefault="00CC3046"/>
    <w:p w14:paraId="7C195E34" w14:textId="77777777" w:rsidR="00CC3046" w:rsidRDefault="00B72D4C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743FE5B3" w14:textId="77777777" w:rsidR="00CC3046" w:rsidRDefault="00393B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60EC4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239149" w14:textId="013822F7" w:rsidR="00CC3046" w:rsidRDefault="00CC3046" w:rsidP="00106DD1">
      <w:pPr>
        <w:spacing w:after="210" w:line="360" w:lineRule="auto"/>
        <w:ind w:left="180"/>
      </w:pPr>
      <w:bookmarkStart w:id="12" w:name="fn1"/>
      <w:bookmarkStart w:id="13" w:name="fn2"/>
      <w:bookmarkEnd w:id="12"/>
      <w:bookmarkEnd w:id="13"/>
    </w:p>
    <w:sectPr w:rsidR="00CC304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3C84"/>
    <w:multiLevelType w:val="hybridMultilevel"/>
    <w:tmpl w:val="83002F64"/>
    <w:lvl w:ilvl="0" w:tplc="7A48862E">
      <w:numFmt w:val="decimal"/>
      <w:lvlText w:val=""/>
      <w:lvlJc w:val="left"/>
    </w:lvl>
    <w:lvl w:ilvl="1" w:tplc="FF642F32">
      <w:numFmt w:val="decimal"/>
      <w:lvlText w:val=""/>
      <w:lvlJc w:val="left"/>
    </w:lvl>
    <w:lvl w:ilvl="2" w:tplc="20A8230C">
      <w:numFmt w:val="decimal"/>
      <w:lvlText w:val=""/>
      <w:lvlJc w:val="left"/>
    </w:lvl>
    <w:lvl w:ilvl="3" w:tplc="0A828ADA">
      <w:numFmt w:val="decimal"/>
      <w:lvlText w:val=""/>
      <w:lvlJc w:val="left"/>
    </w:lvl>
    <w:lvl w:ilvl="4" w:tplc="3446A9BC">
      <w:numFmt w:val="decimal"/>
      <w:lvlText w:val=""/>
      <w:lvlJc w:val="left"/>
    </w:lvl>
    <w:lvl w:ilvl="5" w:tplc="35C40AEE">
      <w:numFmt w:val="decimal"/>
      <w:lvlText w:val=""/>
      <w:lvlJc w:val="left"/>
    </w:lvl>
    <w:lvl w:ilvl="6" w:tplc="AC3AC2C2">
      <w:numFmt w:val="decimal"/>
      <w:lvlText w:val=""/>
      <w:lvlJc w:val="left"/>
    </w:lvl>
    <w:lvl w:ilvl="7" w:tplc="47421AD0">
      <w:numFmt w:val="decimal"/>
      <w:lvlText w:val=""/>
      <w:lvlJc w:val="left"/>
    </w:lvl>
    <w:lvl w:ilvl="8" w:tplc="FFD07F52">
      <w:numFmt w:val="decimal"/>
      <w:lvlText w:val=""/>
      <w:lvlJc w:val="left"/>
    </w:lvl>
  </w:abstractNum>
  <w:abstractNum w:abstractNumId="1" w15:restartNumberingAfterBreak="0">
    <w:nsid w:val="5EF22AB8"/>
    <w:multiLevelType w:val="hybridMultilevel"/>
    <w:tmpl w:val="092E8AEC"/>
    <w:lvl w:ilvl="0" w:tplc="07EAD9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5C0BAE">
      <w:numFmt w:val="decimal"/>
      <w:lvlText w:val=""/>
      <w:lvlJc w:val="left"/>
    </w:lvl>
    <w:lvl w:ilvl="2" w:tplc="4ECC7490">
      <w:numFmt w:val="decimal"/>
      <w:lvlText w:val=""/>
      <w:lvlJc w:val="left"/>
    </w:lvl>
    <w:lvl w:ilvl="3" w:tplc="12689926">
      <w:numFmt w:val="decimal"/>
      <w:lvlText w:val=""/>
      <w:lvlJc w:val="left"/>
    </w:lvl>
    <w:lvl w:ilvl="4" w:tplc="F4E6B8BE">
      <w:numFmt w:val="decimal"/>
      <w:lvlText w:val=""/>
      <w:lvlJc w:val="left"/>
    </w:lvl>
    <w:lvl w:ilvl="5" w:tplc="026405E6">
      <w:numFmt w:val="decimal"/>
      <w:lvlText w:val=""/>
      <w:lvlJc w:val="left"/>
    </w:lvl>
    <w:lvl w:ilvl="6" w:tplc="BAEEF028">
      <w:numFmt w:val="decimal"/>
      <w:lvlText w:val=""/>
      <w:lvlJc w:val="left"/>
    </w:lvl>
    <w:lvl w:ilvl="7" w:tplc="B38A2B48">
      <w:numFmt w:val="decimal"/>
      <w:lvlText w:val=""/>
      <w:lvlJc w:val="left"/>
    </w:lvl>
    <w:lvl w:ilvl="8" w:tplc="C52EFC5E">
      <w:numFmt w:val="decimal"/>
      <w:lvlText w:val=""/>
      <w:lvlJc w:val="left"/>
    </w:lvl>
  </w:abstractNum>
  <w:num w:numId="1" w16cid:durableId="310066311">
    <w:abstractNumId w:val="0"/>
  </w:num>
  <w:num w:numId="2" w16cid:durableId="48924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046"/>
    <w:rsid w:val="000564BC"/>
    <w:rsid w:val="00106DD1"/>
    <w:rsid w:val="00167D76"/>
    <w:rsid w:val="001D70FA"/>
    <w:rsid w:val="00393BB9"/>
    <w:rsid w:val="00413E39"/>
    <w:rsid w:val="00465C3E"/>
    <w:rsid w:val="00993F93"/>
    <w:rsid w:val="009C3990"/>
    <w:rsid w:val="00B72D4C"/>
    <w:rsid w:val="00CC3046"/>
    <w:rsid w:val="00F1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3FF1F3A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1193</Words>
  <Characters>6803</Characters>
  <Application>Microsoft Office Word</Application>
  <DocSecurity>0</DocSecurity>
  <Lines>56</Lines>
  <Paragraphs>15</Paragraphs>
  <ScaleCrop>false</ScaleCrop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6</cp:revision>
  <dcterms:created xsi:type="dcterms:W3CDTF">2025-08-16T12:50:00Z</dcterms:created>
  <dcterms:modified xsi:type="dcterms:W3CDTF">2026-01-13T11:33:00Z</dcterms:modified>
</cp:coreProperties>
</file>