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FEC8B" w14:textId="77777777" w:rsidR="00AD5737" w:rsidRDefault="007A7C5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1DC548C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23B0E" w14:textId="06AA60F0" w:rsidR="00AD573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Сценарий</w:t>
      </w:r>
      <w:r w:rsidR="005E0FC5">
        <w:rPr>
          <w:rFonts w:ascii="inter" w:eastAsia="inter" w:hAnsi="inter" w:cs="inter"/>
          <w:b/>
          <w:color w:val="000000"/>
          <w:sz w:val="24"/>
        </w:rPr>
        <w:t xml:space="preserve"> 9</w:t>
      </w:r>
      <w:r>
        <w:rPr>
          <w:rFonts w:ascii="inter" w:eastAsia="inter" w:hAnsi="inter" w:cs="inter"/>
          <w:b/>
          <w:color w:val="000000"/>
          <w:sz w:val="24"/>
        </w:rPr>
        <w:t>: Вторичная артериальная гипертензия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30"/>
        <w:gridCol w:w="7574"/>
      </w:tblGrid>
      <w:tr w:rsidR="009677FC" w14:paraId="2BB035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006884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B68764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Пациентка: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Женщина, 45 лет, на амбулаторном приёме у врача-кардиолога с жалобами на стабильно высокие цифры артериального давления (АД), несмотря на приём трёхкомпонентной антигипертензивной терапии.</w:t>
            </w:r>
          </w:p>
          <w:p w14:paraId="4C74CF55" w14:textId="77777777" w:rsidR="00AD5737" w:rsidRDefault="00AD5737"/>
          <w:p w14:paraId="3842DF13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 обследование для выявления причины вторичного характера артериальной гипертензии (АГ), поставить точный клинический диагноз и назначить этиопатогенетическое лечение.</w:t>
            </w:r>
          </w:p>
          <w:p w14:paraId="7874A4A8" w14:textId="77777777" w:rsidR="00AD5737" w:rsidRDefault="00AD5737"/>
          <w:p w14:paraId="2DDDA92F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«Артериальная гипертензия у взрослых», 2024 г. </w:t>
            </w:r>
            <w:hyperlink w:anchor="fn1">
              <w:r w:rsidR="00AD573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9677FC" w14:paraId="60F027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13CA15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3C50AE" w14:textId="0AE36ED2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Пациентка жалуется на частые головные боли в затылочной области, головокружение, общую слабость. В последние 6 месяцев отмечает появление мышечной слабости, судорог в икроножных мышцах, учащенное мочеиспускание, постоянную жажду и сердцебиение </w:t>
            </w:r>
          </w:p>
        </w:tc>
      </w:tr>
      <w:tr w:rsidR="009677FC" w14:paraId="271AB7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1E0495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A2B586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Считает себя больной в течение 5 лет, когда впервые были зафиксированы подъемы АД до 160/100 мм рт. ст. Наблюдалась у терапевта, была подобрана терапия (ингибитор АПФ, диуретик). Около года назад отметила ухудшение состояния: АД стало хуже контролироваться, достигало 180/110 мм рт. ст. К терапии был добавлен антагонист кальция, однако стойкой нормализации АД достичь не удалось.</w:t>
            </w:r>
          </w:p>
        </w:tc>
      </w:tr>
      <w:tr w:rsidR="009677FC" w14:paraId="2340E5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EBC60E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9EA5D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Наследственность по сердечно-сосудистым заболеваниям не отягощена. Хронические заболевания отрицает. Аллергологический анамнез без особенностей. Не курит, алкоголь употребляет редко.</w:t>
            </w:r>
          </w:p>
        </w:tc>
      </w:tr>
      <w:tr w:rsidR="009677FC" w14:paraId="6C3E4B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B03E2F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4E41C8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удовлетворительное. Сознание ясное. Рост 168 см, вес 70 кг, ИМТ 24.8 кг/м². Кожные покровы физиологической окраски. В легких дыхание везикулярное, хрипов нет. Тоны сердца приглушены, ритм правильный. ЧСС 88 уд/мин, АД на правой руке — 175/105 мм рт. ст., на левой — 170/100 мм рт. ст. Живот мягкий, безболезненный. Периферических отеков нет.</w:t>
            </w:r>
          </w:p>
        </w:tc>
      </w:tr>
      <w:tr w:rsidR="009677FC" w14:paraId="3D5670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EA2AA1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7239C8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Резистентная артериальная гипертензия (</w:t>
            </w:r>
            <w:r w:rsidRPr="00E2694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Диагноз правомочен, так как АД не контролируется на фоне приёма трёх препаратов, включая диуретик </w:t>
            </w:r>
            <w:hyperlink w:anchor="fn1">
              <w:r w:rsidR="00AD573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6F1F7895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гипертензия у взрослых, 2024, раздел 3.6.11, стр. 67. Терапия тремя препаратами, включая диуретик, не приводит к достижению целевого АД.</w:t>
            </w:r>
          </w:p>
          <w:p w14:paraId="2561DE8C" w14:textId="77777777" w:rsidR="00AD5737" w:rsidRDefault="00AD5737"/>
          <w:p w14:paraId="36A3626C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Вторичная (симптоматическая) АГ на фоне первичного гиперальдостеронизма (</w:t>
            </w:r>
            <w:r w:rsidRPr="00E2694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Наличие резистентной АГ в сочетании с мышечной слабостью и полиурией делает этот диагноз наиболее вероятным </w:t>
            </w:r>
            <w:hyperlink w:anchor="fn1">
              <w:r w:rsidR="00AD573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hyperlink w:anchor="fn2">
              <w:r w:rsidR="00AD573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3503A09A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гипертензия у взрослых, 2024, таблица П5, стр. 24. Клинические признаки (мышечная слабость, полиурия) указывают на возможный первичный гиперальдостеронизм.</w:t>
            </w:r>
          </w:p>
          <w:p w14:paraId="673505D7" w14:textId="77777777" w:rsidR="00AD5737" w:rsidRDefault="00AD5737"/>
          <w:p w14:paraId="782DF766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Эссенциальная (первичная) гипертензия (</w:t>
            </w:r>
            <w:r w:rsidRPr="00E2694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Наличие специфических симптомов и резистентности к лечению требует исключения вторичных причин АГ </w:t>
            </w:r>
            <w:hyperlink w:anchor="fn1">
              <w:r w:rsidR="00AD573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1678EC48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гипертензия у взрослых, 2024, раздел 1.1, стр. 13. Эссенциальная гипертензия не связана с явными причинами, в данном случае имеются признаки, указывающие на вторичный характер заболевания.</w:t>
            </w:r>
          </w:p>
          <w:p w14:paraId="380D531C" w14:textId="77777777" w:rsidR="00AD5737" w:rsidRDefault="00AD5737"/>
          <w:p w14:paraId="723A218D" w14:textId="10996FF9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Феохромоцитома (</w:t>
            </w:r>
            <w:r w:rsidR="00E2694A" w:rsidRPr="00E2694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Для феохромоцитомы характерны пароксизмальные кризы с потливостью и сердцебиением, что не является ведущим в клинической картине пациентки </w:t>
            </w:r>
          </w:p>
          <w:p w14:paraId="3B2609E5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гипертензия у взрослых, 2024, раздел 1.6, стр. 21. Клиническая картина не соответствует типичным проявлениям феохромоцитомы.</w:t>
            </w:r>
          </w:p>
        </w:tc>
      </w:tr>
      <w:tr w:rsidR="009677FC" w14:paraId="0FA95F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317349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208E0F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Определение соотношения альдостерон/ренин в плазме крови (</w:t>
            </w:r>
            <w:r w:rsidRPr="00E2694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Ключевой скрининговый тест для диагностики первичного гиперальдостеронизма </w:t>
            </w:r>
            <w:hyperlink w:anchor="fn1">
              <w:r w:rsidR="00AD573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67F6CDC8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гипертензия у взрослых, 2024, раздел 2.1, таблица П5, стр. 24.</w:t>
            </w:r>
          </w:p>
          <w:p w14:paraId="024166EC" w14:textId="77777777" w:rsidR="00AD5737" w:rsidRDefault="00AD5737"/>
          <w:p w14:paraId="2216297A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Исследование уровня калия и натрия в крови (</w:t>
            </w:r>
            <w:r w:rsidRPr="00E2694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Гипокалиемия является классическим признаком гиперальдостеронизма </w:t>
            </w:r>
            <w:hyperlink w:anchor="fn1">
              <w:r w:rsidR="00AD573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4741FA93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гипертензия у взрослых, 2024, раздел 2.7, стр. 33.</w:t>
            </w:r>
          </w:p>
          <w:p w14:paraId="4936AE4C" w14:textId="77777777" w:rsidR="00AD5737" w:rsidRDefault="00AD5737"/>
          <w:p w14:paraId="51C96BBB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мочи и альбумин/креатининовое соотношение (</w:t>
            </w:r>
            <w:r w:rsidRPr="00E2694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Необходимо для оценки поражения почек как органа-мишени </w:t>
            </w:r>
            <w:hyperlink w:anchor="fn1">
              <w:r w:rsidR="00AD573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3736C1C5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гипертензия у взрослых, 2024, раздел 2.7, стр. 32.</w:t>
            </w:r>
          </w:p>
          <w:p w14:paraId="4AB47E6E" w14:textId="77777777" w:rsidR="00AD5737" w:rsidRDefault="00AD5737"/>
          <w:p w14:paraId="09630FF7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Исследование уровня тиреотропного гормона (ТТГ) в крови (</w:t>
            </w:r>
            <w:r w:rsidRPr="00E2694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Назначается при подозрении на заболевания щитовидной железы, клинических признаков которых у пациентки нет </w:t>
            </w:r>
            <w:hyperlink w:anchor="fn1">
              <w:r w:rsidR="00AD573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38682D94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гипертензия у взрослых, 2024, раздел 1.6, стр. 22. Нет симптомов, характерных для тиреотоксикоза или гипотиреоза.</w:t>
            </w:r>
          </w:p>
        </w:tc>
      </w:tr>
      <w:tr w:rsidR="009677FC" w14:paraId="593726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B26E90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488FC3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КТ надпочечников с контрастированием (</w:t>
            </w:r>
            <w:r w:rsidRPr="00E2694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Метод выбора для визуализации альдостерон-продуцирующей аденомы </w:t>
            </w:r>
            <w:hyperlink w:anchor="fn1">
              <w:r w:rsidR="00AD573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19BFF2A6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гипертензия у взрослых, 2024, таблица П8/А3, стр. 180.</w:t>
            </w:r>
          </w:p>
          <w:p w14:paraId="73CC96BB" w14:textId="77777777" w:rsidR="00AD5737" w:rsidRDefault="00AD5737"/>
          <w:p w14:paraId="0ABF6844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 в 12 отведениях (</w:t>
            </w:r>
            <w:r w:rsidRPr="00E2694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Для выявления признаков гипертрофии левого желудочка и нарушений ритма, связанных с гипокалиемией </w:t>
            </w:r>
            <w:hyperlink w:anchor="fn1">
              <w:r w:rsidR="00AD573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6C0FB492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гипертензия у взрослых, 2024, раздел 2.8, стр. 34.</w:t>
            </w:r>
          </w:p>
          <w:p w14:paraId="318F23E6" w14:textId="77777777" w:rsidR="00AD5737" w:rsidRDefault="00AD5737"/>
          <w:p w14:paraId="5B6106BE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Эхокардиография (ЭхоКГ) (</w:t>
            </w:r>
            <w:r w:rsidRPr="00E2694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Для детальной оценки структуры и функции сердца, определения индекса массы миокарда левого желудочка </w:t>
            </w:r>
            <w:hyperlink w:anchor="fn1">
              <w:r w:rsidR="00AD573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344C9F36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гипертензия у взрослых, 2024, раздел 2.8, стр. 34.</w:t>
            </w:r>
          </w:p>
          <w:p w14:paraId="7A849B94" w14:textId="77777777" w:rsidR="00AD5737" w:rsidRDefault="00AD5737"/>
          <w:p w14:paraId="4C51691D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Дуплексное сканирование артерий почек (</w:t>
            </w:r>
            <w:r w:rsidRPr="00E2694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Для исключения реноваскулярной гипертензии как альтернативной причины вторичной АГ </w:t>
            </w:r>
            <w:hyperlink w:anchor="fn1">
              <w:r w:rsidR="00AD573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6A3A4A09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гипертензия у взрослых, 2024, раздел 2.8, стр. 35.</w:t>
            </w:r>
          </w:p>
        </w:tc>
      </w:tr>
      <w:tr w:rsidR="009677FC" w14:paraId="42F5F5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F66B6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A42C62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Биохимический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Калий — 2.9 ммоль/л (норма 3.5-5.1), натрий — 147 ммоль/л (норма 136-145), креатинин — 80 мкмоль/л, СКФ (CKD-EPI) — 85 мл/мин/1,73 м².</w:t>
            </w:r>
          </w:p>
          <w:p w14:paraId="53478464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Альдостерон-рениновое соотношение: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значительно повышено.</w:t>
            </w:r>
          </w:p>
          <w:p w14:paraId="79AED388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мочи: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патологии.</w:t>
            </w:r>
          </w:p>
        </w:tc>
      </w:tr>
      <w:tr w:rsidR="009677FC" w14:paraId="1219AE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C9BC0A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3FCFA9" w14:textId="4C3D6E46" w:rsidR="00AD5737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Ритм синусовый, </w:t>
            </w:r>
            <w:r w:rsidR="009677FC">
              <w:rPr>
                <w:rFonts w:ascii="inter" w:eastAsia="inter" w:hAnsi="inter" w:cs="inter"/>
                <w:color w:val="000000"/>
                <w:sz w:val="17"/>
              </w:rPr>
              <w:t>А-В блокада 1 степени,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9677FC">
              <w:rPr>
                <w:rFonts w:ascii="inter" w:eastAsia="inter" w:hAnsi="inter" w:cs="inter"/>
                <w:color w:val="000000"/>
                <w:sz w:val="17"/>
              </w:rPr>
              <w:t>д</w:t>
            </w:r>
            <w:r>
              <w:rPr>
                <w:rFonts w:ascii="inter" w:eastAsia="inter" w:hAnsi="inter" w:cs="inter"/>
                <w:color w:val="000000"/>
                <w:sz w:val="17"/>
              </w:rPr>
              <w:t>епрессия сегмента ST, сглаженность зубц</w:t>
            </w:r>
            <w:r w:rsidR="009677FC">
              <w:rPr>
                <w:rFonts w:ascii="inter" w:eastAsia="inter" w:hAnsi="inter" w:cs="inter"/>
                <w:color w:val="000000"/>
                <w:sz w:val="17"/>
              </w:rPr>
              <w:t>ов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Т, зуб</w:t>
            </w:r>
            <w:r w:rsidR="009677FC">
              <w:rPr>
                <w:rFonts w:ascii="inter" w:eastAsia="inter" w:hAnsi="inter" w:cs="inter"/>
                <w:color w:val="000000"/>
                <w:sz w:val="17"/>
              </w:rPr>
              <w:t>цы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U</w:t>
            </w:r>
            <w:r w:rsidR="009677FC"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="009677FC">
              <w:rPr>
                <w:rFonts w:ascii="inter" w:eastAsia="inter" w:hAnsi="inter" w:cs="inter"/>
                <w:color w:val="000000"/>
                <w:sz w:val="17"/>
                <w:lang w:val="en-US"/>
              </w:rPr>
              <w:t>V</w:t>
            </w:r>
            <w:r w:rsidR="009677FC" w:rsidRPr="009677FC">
              <w:rPr>
                <w:rFonts w:ascii="inter" w:eastAsia="inter" w:hAnsi="inter" w:cs="inter"/>
                <w:color w:val="000000"/>
                <w:sz w:val="17"/>
              </w:rPr>
              <w:t>2-</w:t>
            </w:r>
            <w:r w:rsidR="009677FC">
              <w:rPr>
                <w:rFonts w:ascii="inter" w:eastAsia="inter" w:hAnsi="inter" w:cs="inter"/>
                <w:color w:val="000000"/>
                <w:sz w:val="17"/>
                <w:lang w:val="en-US"/>
              </w:rPr>
              <w:t>V</w:t>
            </w:r>
            <w:r w:rsidR="009677FC" w:rsidRPr="009677FC">
              <w:rPr>
                <w:rFonts w:ascii="inter" w:eastAsia="inter" w:hAnsi="inter" w:cs="inter"/>
                <w:color w:val="000000"/>
                <w:sz w:val="17"/>
              </w:rPr>
              <w:t>3</w:t>
            </w:r>
            <w:r w:rsidR="009677FC">
              <w:rPr>
                <w:rFonts w:ascii="inter" w:eastAsia="inter" w:hAnsi="inter" w:cs="inter"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>, что характерно для гипокалиемии.</w:t>
            </w:r>
          </w:p>
          <w:p w14:paraId="083ECBC0" w14:textId="1E0D174C" w:rsidR="00E2694A" w:rsidRPr="00E2694A" w:rsidRDefault="009677FC">
            <w:pPr>
              <w:spacing w:line="360" w:lineRule="auto"/>
            </w:pPr>
            <w:r w:rsidRPr="009677FC">
              <w:rPr>
                <w:noProof/>
              </w:rPr>
              <w:drawing>
                <wp:inline distT="0" distB="0" distL="0" distR="0" wp14:anchorId="774388AC" wp14:editId="2EF2CA7A">
                  <wp:extent cx="4541824" cy="2462901"/>
                  <wp:effectExtent l="0" t="0" r="5080" b="1270"/>
                  <wp:docPr id="10964934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49347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0811" cy="248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0E3BD1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КТ надпочечников: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правом надпочечнике определяется округлое образование размером 1.5 см с чёткими контурами, низкой плотности, соответствующее аденоме. Левый надпочечник не изменён.</w:t>
            </w:r>
          </w:p>
        </w:tc>
      </w:tr>
      <w:tr w:rsidR="009677FC" w14:paraId="09C7A8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41611E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F0265A" w14:textId="0C236D45" w:rsidR="00AD5737" w:rsidRPr="009677FC" w:rsidRDefault="00000000" w:rsidP="009677FC">
            <w:pPr>
              <w:spacing w:line="360" w:lineRule="auto"/>
              <w:rPr>
                <w:b/>
                <w:bCs/>
              </w:rPr>
            </w:pPr>
            <w:bookmarkStart w:id="0" w:name="OLE_LINK1"/>
            <w:r w:rsidRPr="009677FC"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>Вторичная (симптоматическая) артериальная гипертензия: первичный гиперальдостеронизм (альдостерон-продуцирующая аденома правого надпочечника)</w:t>
            </w:r>
            <w:r w:rsidR="009677FC" w:rsidRPr="009677FC"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 xml:space="preserve"> </w:t>
            </w:r>
          </w:p>
          <w:p w14:paraId="3232630A" w14:textId="521F30F9" w:rsidR="00AD5737" w:rsidRDefault="00000000" w:rsidP="0076625C">
            <w:pPr>
              <w:spacing w:line="360" w:lineRule="auto"/>
            </w:pPr>
            <w:r w:rsidRPr="009677FC"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>Риск сердечно-сосудистых осложнений 4 (очень высокий). Гипертрофия левого желудочка. Гипокалиемия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bookmarkEnd w:id="0"/>
            <w:r w:rsidR="009677FC">
              <w:rPr>
                <w:rFonts w:ascii="inter" w:eastAsia="inter" w:hAnsi="inter" w:cs="inter"/>
                <w:color w:val="000000"/>
                <w:sz w:val="17"/>
              </w:rPr>
              <w:t>(</w:t>
            </w:r>
            <w:r w:rsidR="009677FC" w:rsidRPr="009677F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верно</w:t>
            </w:r>
            <w:r w:rsidR="009677FC">
              <w:rPr>
                <w:rFonts w:ascii="inter" w:eastAsia="inter" w:hAnsi="inter" w:cs="inter"/>
                <w:color w:val="000000"/>
                <w:sz w:val="17"/>
              </w:rPr>
              <w:t>).</w:t>
            </w:r>
            <w:hyperlink w:anchor="fn1">
              <w:r w:rsidR="00AD573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4DA7005A" w14:textId="77777777" w:rsidR="00AD5737" w:rsidRDefault="0000000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гипертензия у взрослых, 2024, раздел 2.2, стр. 25. Принципы формулировки диагноза требуют указания стадии, риска и поражения органов-мишеней.</w:t>
            </w:r>
          </w:p>
          <w:p w14:paraId="4345BB92" w14:textId="77777777" w:rsidR="0076625C" w:rsidRDefault="0076625C">
            <w:pPr>
              <w:spacing w:line="360" w:lineRule="auto"/>
              <w:rPr>
                <w:rFonts w:asciiTheme="majorBidi" w:hAnsiTheme="majorBidi" w:cstheme="majorBidi"/>
                <w:b/>
                <w:bCs/>
                <w:iCs/>
                <w:sz w:val="18"/>
                <w:szCs w:val="20"/>
              </w:rPr>
            </w:pPr>
          </w:p>
          <w:p w14:paraId="520E4DB3" w14:textId="11A6B3A0" w:rsidR="009677FC" w:rsidRPr="009677FC" w:rsidRDefault="009677FC">
            <w:pPr>
              <w:spacing w:line="360" w:lineRule="auto"/>
              <w:rPr>
                <w:rFonts w:asciiTheme="majorBidi" w:hAnsiTheme="majorBidi" w:cstheme="majorBidi"/>
              </w:rPr>
            </w:pPr>
            <w:r w:rsidRPr="009677FC">
              <w:rPr>
                <w:rFonts w:asciiTheme="majorBidi" w:hAnsiTheme="majorBidi" w:cstheme="majorBidi"/>
                <w:b/>
                <w:bCs/>
                <w:iCs/>
                <w:sz w:val="18"/>
                <w:szCs w:val="20"/>
              </w:rPr>
              <w:t>Феохромоцитома</w:t>
            </w:r>
            <w:r w:rsidRPr="009677FC">
              <w:rPr>
                <w:rFonts w:asciiTheme="majorBidi" w:hAnsiTheme="majorBidi" w:cstheme="majorBidi"/>
                <w:i/>
                <w:sz w:val="18"/>
                <w:szCs w:val="20"/>
              </w:rPr>
              <w:t xml:space="preserve"> (</w:t>
            </w:r>
            <w:r w:rsidRPr="009677FC">
              <w:rPr>
                <w:rFonts w:asciiTheme="majorBidi" w:hAnsiTheme="majorBidi" w:cstheme="majorBidi"/>
                <w:i/>
                <w:sz w:val="18"/>
                <w:szCs w:val="20"/>
                <w:highlight w:val="yellow"/>
              </w:rPr>
              <w:t>неверно</w:t>
            </w:r>
            <w:r w:rsidRPr="009677FC">
              <w:rPr>
                <w:rFonts w:asciiTheme="majorBidi" w:hAnsiTheme="majorBidi" w:cstheme="majorBidi"/>
                <w:i/>
                <w:sz w:val="18"/>
                <w:szCs w:val="20"/>
              </w:rPr>
              <w:t>)</w:t>
            </w:r>
          </w:p>
        </w:tc>
      </w:tr>
      <w:tr w:rsidR="009677FC" w14:paraId="4499DF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94C2EC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06BE77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Хирургическое лечение: правосторонняя адреналэктомия (</w:t>
            </w:r>
            <w:r w:rsidRPr="009677F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Является радикальным методом лечения альдостеромы, приводящим к излечению или значительному улучшению контроля АД </w:t>
            </w:r>
            <w:hyperlink w:anchor="fn1">
              <w:r w:rsidR="00AD573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0EC58FD5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гипертензия у взрослых, 2024, раздел 3.6.11, стр. 69. Рекомендовано направлять пациентов с подозрением на вторичную АГ к соответствующим специалистам для определения тактики лечения, включая хирургическое.</w:t>
            </w:r>
          </w:p>
          <w:p w14:paraId="4C2BA57C" w14:textId="77777777" w:rsidR="00AD5737" w:rsidRDefault="00AD5737"/>
          <w:p w14:paraId="41786E59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спиронолактона в предоперационном периоде (</w:t>
            </w:r>
            <w:r w:rsidRPr="009677F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Необходимо для коррекции гипокалиемии и стабилизации АД перед операцией </w:t>
            </w:r>
            <w:hyperlink w:anchor="fn1">
              <w:r w:rsidR="00AD573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442E202D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гипертензия у взрослых, 2024, раздел 3.6.11, стр. 70. Спиронолактон является препаратом выбора при лечении резистентной АГ, особенно на фоне гиперальдостеронизма.</w:t>
            </w:r>
          </w:p>
          <w:p w14:paraId="38954201" w14:textId="77777777" w:rsidR="00AD5737" w:rsidRDefault="00AD5737"/>
          <w:p w14:paraId="5111EA2B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Продолжение стандартной трёхкомпонентной терапии без антагонистов альдостерона (</w:t>
            </w:r>
            <w:r w:rsidRPr="009677F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Неэффективно и не устраняет причину заболевания.</w:t>
            </w:r>
          </w:p>
          <w:p w14:paraId="37514A3D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гипертензия у взрослых, 2024, раздел 3.6.11, стр. 69. При неэффективности стандартной терапии требуется её пересмотр и поиск причин резистентности.</w:t>
            </w:r>
          </w:p>
        </w:tc>
      </w:tr>
      <w:tr w:rsidR="009677FC" w14:paraId="3B8532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B339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9AD92A" w14:textId="1C4C32F6" w:rsidR="00AD5737" w:rsidRDefault="00000000" w:rsidP="009677F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Послеоперационное наблюдение у кардиолога и эндокринолога. Контроль АД (целевой уровень &lt;130/80 мм рт. ст.), уровня калия в крови. При сохранении АГ — подбор антигипертензивной терапии. Ежегодное обследование для оценки состояния органов-мишеней</w:t>
            </w:r>
            <w:r w:rsidR="00102E29"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="00102E29" w:rsidRPr="00102E29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верно</w:t>
            </w:r>
            <w:r w:rsidR="00102E29">
              <w:rPr>
                <w:rFonts w:ascii="inter" w:eastAsia="inter" w:hAnsi="inter" w:cs="inter"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AD573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6CF91AF4" w14:textId="2806E8E2" w:rsidR="00102E29" w:rsidRDefault="00000000" w:rsidP="0076625C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Артериальная гипертензия у взрослых, 2024, раздел 5, стр. 100. Диспансерное наблюдение является обязательной частью ведения пациентов с АГ.</w:t>
            </w:r>
          </w:p>
          <w:p w14:paraId="06EE0A69" w14:textId="77777777" w:rsidR="0076625C" w:rsidRDefault="0076625C" w:rsidP="0076625C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</w:p>
          <w:p w14:paraId="3B8A1645" w14:textId="1E392716" w:rsidR="00102E29" w:rsidRPr="00102E29" w:rsidRDefault="00102E29">
            <w:pPr>
              <w:spacing w:line="360" w:lineRule="auto"/>
              <w:rPr>
                <w:rFonts w:asciiTheme="majorBidi" w:hAnsiTheme="majorBidi" w:cstheme="majorBidi"/>
              </w:rPr>
            </w:pPr>
            <w:r w:rsidRPr="00102E29">
              <w:rPr>
                <w:rFonts w:asciiTheme="majorBidi" w:hAnsiTheme="majorBidi" w:cstheme="majorBidi"/>
                <w:sz w:val="18"/>
                <w:szCs w:val="20"/>
              </w:rPr>
              <w:t xml:space="preserve">Наблюдение </w:t>
            </w:r>
            <w:r>
              <w:rPr>
                <w:rFonts w:asciiTheme="majorBidi" w:hAnsiTheme="majorBidi" w:cstheme="majorBidi"/>
                <w:sz w:val="18"/>
                <w:szCs w:val="20"/>
              </w:rPr>
              <w:t>кардиолога</w:t>
            </w:r>
            <w:r w:rsidRPr="00102E29">
              <w:rPr>
                <w:rFonts w:asciiTheme="majorBidi" w:hAnsiTheme="majorBidi" w:cstheme="majorBidi"/>
                <w:sz w:val="18"/>
                <w:szCs w:val="20"/>
              </w:rPr>
              <w:t xml:space="preserve"> </w:t>
            </w:r>
            <w:r w:rsidR="0076625C">
              <w:rPr>
                <w:rFonts w:asciiTheme="majorBidi" w:hAnsiTheme="majorBidi" w:cstheme="majorBidi"/>
                <w:sz w:val="18"/>
                <w:szCs w:val="20"/>
              </w:rPr>
              <w:t xml:space="preserve">и эндокринолога </w:t>
            </w:r>
            <w:r>
              <w:rPr>
                <w:rFonts w:asciiTheme="majorBidi" w:hAnsiTheme="majorBidi" w:cstheme="majorBidi"/>
                <w:sz w:val="18"/>
                <w:szCs w:val="20"/>
              </w:rPr>
              <w:t xml:space="preserve">1 раз в </w:t>
            </w:r>
            <w:r w:rsidR="0076625C">
              <w:rPr>
                <w:rFonts w:asciiTheme="majorBidi" w:hAnsiTheme="majorBidi" w:cstheme="majorBidi"/>
                <w:sz w:val="18"/>
                <w:szCs w:val="20"/>
              </w:rPr>
              <w:t>24</w:t>
            </w:r>
            <w:r w:rsidRPr="00102E29">
              <w:rPr>
                <w:rFonts w:asciiTheme="majorBidi" w:hAnsiTheme="majorBidi" w:cstheme="majorBidi"/>
                <w:sz w:val="18"/>
                <w:szCs w:val="20"/>
              </w:rPr>
              <w:t xml:space="preserve"> мес. </w:t>
            </w:r>
            <w:r>
              <w:rPr>
                <w:rFonts w:asciiTheme="majorBidi" w:hAnsiTheme="majorBidi" w:cstheme="majorBidi"/>
                <w:sz w:val="18"/>
                <w:szCs w:val="20"/>
              </w:rPr>
              <w:t>(</w:t>
            </w:r>
            <w:r w:rsidRPr="00102E29">
              <w:rPr>
                <w:rFonts w:asciiTheme="majorBidi" w:hAnsiTheme="majorBidi" w:cstheme="majorBidi"/>
                <w:sz w:val="18"/>
                <w:szCs w:val="20"/>
                <w:highlight w:val="yellow"/>
              </w:rPr>
              <w:t>неверно</w:t>
            </w:r>
            <w:r>
              <w:rPr>
                <w:rFonts w:asciiTheme="majorBidi" w:hAnsiTheme="majorBidi" w:cstheme="majorBidi"/>
                <w:sz w:val="18"/>
                <w:szCs w:val="20"/>
              </w:rPr>
              <w:t>)</w:t>
            </w:r>
          </w:p>
        </w:tc>
      </w:tr>
      <w:tr w:rsidR="009677FC" w14:paraId="7BF31F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0E663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F37253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Использованные клинические рекомендации:</w:t>
            </w:r>
          </w:p>
          <w:p w14:paraId="2375DEDA" w14:textId="77777777" w:rsidR="00AD573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Артериальная гипертензия у взрослых. Клинические рекомендации 2024. Российское кардиологическое общество. Утверждены Минздравом РФ </w:t>
            </w:r>
            <w:hyperlink w:anchor="fn1">
              <w:r w:rsidR="00AD573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</w:tbl>
    <w:p w14:paraId="38FADEA2" w14:textId="77777777" w:rsidR="00AD5737" w:rsidRDefault="00AD5737"/>
    <w:p w14:paraId="0B3BCD70" w14:textId="77777777" w:rsidR="00AD5737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bookmarkStart w:id="1" w:name="fn1"/>
    <w:bookmarkStart w:id="2" w:name="fn2"/>
    <w:bookmarkStart w:id="3" w:name="fn3"/>
    <w:bookmarkEnd w:id="1"/>
    <w:bookmarkEnd w:id="2"/>
    <w:bookmarkEnd w:id="3"/>
    <w:p w14:paraId="743E7369" w14:textId="4F8C8A79" w:rsidR="00AD5737" w:rsidRDefault="007A7C50" w:rsidP="00012C9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FFE12E0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AD573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F400B"/>
    <w:multiLevelType w:val="hybridMultilevel"/>
    <w:tmpl w:val="59245560"/>
    <w:lvl w:ilvl="0" w:tplc="D3D8C3A6">
      <w:numFmt w:val="decimal"/>
      <w:lvlText w:val=""/>
      <w:lvlJc w:val="left"/>
    </w:lvl>
    <w:lvl w:ilvl="1" w:tplc="3E26C6E6">
      <w:numFmt w:val="decimal"/>
      <w:lvlText w:val=""/>
      <w:lvlJc w:val="left"/>
    </w:lvl>
    <w:lvl w:ilvl="2" w:tplc="DAE4D642">
      <w:numFmt w:val="decimal"/>
      <w:lvlText w:val=""/>
      <w:lvlJc w:val="left"/>
    </w:lvl>
    <w:lvl w:ilvl="3" w:tplc="261C5B1A">
      <w:numFmt w:val="decimal"/>
      <w:lvlText w:val=""/>
      <w:lvlJc w:val="left"/>
    </w:lvl>
    <w:lvl w:ilvl="4" w:tplc="8DC4312E">
      <w:numFmt w:val="decimal"/>
      <w:lvlText w:val=""/>
      <w:lvlJc w:val="left"/>
    </w:lvl>
    <w:lvl w:ilvl="5" w:tplc="3DF8ADDC">
      <w:numFmt w:val="decimal"/>
      <w:lvlText w:val=""/>
      <w:lvlJc w:val="left"/>
    </w:lvl>
    <w:lvl w:ilvl="6" w:tplc="5E382494">
      <w:numFmt w:val="decimal"/>
      <w:lvlText w:val=""/>
      <w:lvlJc w:val="left"/>
    </w:lvl>
    <w:lvl w:ilvl="7" w:tplc="BD063672">
      <w:numFmt w:val="decimal"/>
      <w:lvlText w:val=""/>
      <w:lvlJc w:val="left"/>
    </w:lvl>
    <w:lvl w:ilvl="8" w:tplc="1DCECF5E">
      <w:numFmt w:val="decimal"/>
      <w:lvlText w:val=""/>
      <w:lvlJc w:val="left"/>
    </w:lvl>
  </w:abstractNum>
  <w:abstractNum w:abstractNumId="1" w15:restartNumberingAfterBreak="0">
    <w:nsid w:val="5B494498"/>
    <w:multiLevelType w:val="hybridMultilevel"/>
    <w:tmpl w:val="9B68535C"/>
    <w:lvl w:ilvl="0" w:tplc="5F826CC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2723B4E">
      <w:numFmt w:val="decimal"/>
      <w:lvlText w:val=""/>
      <w:lvlJc w:val="left"/>
    </w:lvl>
    <w:lvl w:ilvl="2" w:tplc="8068A2B6">
      <w:numFmt w:val="decimal"/>
      <w:lvlText w:val=""/>
      <w:lvlJc w:val="left"/>
    </w:lvl>
    <w:lvl w:ilvl="3" w:tplc="9DF8C252">
      <w:numFmt w:val="decimal"/>
      <w:lvlText w:val=""/>
      <w:lvlJc w:val="left"/>
    </w:lvl>
    <w:lvl w:ilvl="4" w:tplc="4BBC00B0">
      <w:numFmt w:val="decimal"/>
      <w:lvlText w:val=""/>
      <w:lvlJc w:val="left"/>
    </w:lvl>
    <w:lvl w:ilvl="5" w:tplc="CB26E670">
      <w:numFmt w:val="decimal"/>
      <w:lvlText w:val=""/>
      <w:lvlJc w:val="left"/>
    </w:lvl>
    <w:lvl w:ilvl="6" w:tplc="F5B014E2">
      <w:numFmt w:val="decimal"/>
      <w:lvlText w:val=""/>
      <w:lvlJc w:val="left"/>
    </w:lvl>
    <w:lvl w:ilvl="7" w:tplc="5F582BCE">
      <w:numFmt w:val="decimal"/>
      <w:lvlText w:val=""/>
      <w:lvlJc w:val="left"/>
    </w:lvl>
    <w:lvl w:ilvl="8" w:tplc="F1725742">
      <w:numFmt w:val="decimal"/>
      <w:lvlText w:val=""/>
      <w:lvlJc w:val="left"/>
    </w:lvl>
  </w:abstractNum>
  <w:num w:numId="1" w16cid:durableId="854805158">
    <w:abstractNumId w:val="0"/>
  </w:num>
  <w:num w:numId="2" w16cid:durableId="780874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737"/>
    <w:rsid w:val="00012C9D"/>
    <w:rsid w:val="000D4FA7"/>
    <w:rsid w:val="00102E29"/>
    <w:rsid w:val="00151D5C"/>
    <w:rsid w:val="00167D76"/>
    <w:rsid w:val="001D70FA"/>
    <w:rsid w:val="005E0FC5"/>
    <w:rsid w:val="0076625C"/>
    <w:rsid w:val="007A19BE"/>
    <w:rsid w:val="007A7C50"/>
    <w:rsid w:val="00834E29"/>
    <w:rsid w:val="009677FC"/>
    <w:rsid w:val="009C3990"/>
    <w:rsid w:val="00A263F4"/>
    <w:rsid w:val="00A40337"/>
    <w:rsid w:val="00A83629"/>
    <w:rsid w:val="00AD5737"/>
    <w:rsid w:val="00E2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65142BC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1270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5</cp:revision>
  <dcterms:created xsi:type="dcterms:W3CDTF">2025-08-17T03:35:00Z</dcterms:created>
  <dcterms:modified xsi:type="dcterms:W3CDTF">2026-01-13T11:42:00Z</dcterms:modified>
</cp:coreProperties>
</file>