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4" w:name="content"/>
    <w:bookmarkStart w:id="43" w:name="отчёт-о-тестировании-сайта-dexrabbit"/>
    <w:p>
      <w:pPr>
        <w:pStyle w:val="Heading1"/>
      </w:pPr>
      <w:r>
        <w:t xml:space="preserve">Отчёт о тестировании сайта DEXRabbit</w:t>
      </w:r>
    </w:p>
    <w:p>
      <w:pPr>
        <w:pStyle w:val="FirstParagraph"/>
      </w:pPr>
      <w:r>
        <w:t xml:space="preserve">Ниже собраны визуально заметные и UX‑проблемы, обнаруженные на сайте</w:t>
      </w:r>
      <w:r>
        <w:t xml:space="preserve"> </w:t>
      </w:r>
      <w:r>
        <w:rPr>
          <w:b/>
          <w:bCs/>
        </w:rPr>
        <w:t xml:space="preserve">https://xn--80apagbbfxgmuj4j.site/</w:t>
      </w:r>
      <w:r>
        <w:t xml:space="preserve"> </w:t>
      </w:r>
      <w:r>
        <w:t xml:space="preserve">во время исследования на настольном компьютере. Каждый дефект описан с идентификатором, шагами для воспроизведения, фактическим результатом и рекомендациями по исправлению.</w:t>
      </w:r>
    </w:p>
    <w:bookmarkStart w:id="22" w:name="dr001"/>
    <w:p>
      <w:pPr>
        <w:pStyle w:val="Heading2"/>
      </w:pPr>
      <w:r>
        <w:t xml:space="preserve">DR‑001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Главная → «Подарки» (</w:t>
      </w:r>
      <w:r>
        <w:rPr>
          <w:rStyle w:val="VerbatimChar"/>
        </w:rPr>
        <w:t xml:space="preserve">/gifts.html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Навигация / Ховер‑дропдаун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 главной странице наведите курсор на пункт меню «Услуги» и выберите в выпадающем списке «Подарки».</w:t>
      </w:r>
      <w:r>
        <w:t xml:space="preserve"> </w:t>
      </w:r>
      <w:r>
        <w:t xml:space="preserve">2. Дождитесь загрузки страницы</w:t>
      </w:r>
      <w:r>
        <w:t xml:space="preserve"> </w:t>
      </w:r>
      <w:r>
        <w:rPr>
          <w:rStyle w:val="VerbatimChar"/>
        </w:rPr>
        <w:t xml:space="preserve">gifts.html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После перехода на другую страницу выпадающее меню должно закрываться, не перекрывая контент.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На странице подарков в верхней части остаётся открытым выпадающее меню «О нас», которое перекрывает заголовок и текст герой‑блока</w:t>
      </w:r>
      <w:hyperlink r:id="rId21">
        <w:r>
          <w:rPr>
            <w:rStyle w:val="Hyperlink"/>
          </w:rPr>
          <w:t xml:space="preserve">[1]</w:t>
        </w:r>
      </w:hyperlink>
      <w:r>
        <w:t xml:space="preserve">. Меню невозможно закрыть без наведения курсора на хедер.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ширина окна 1440 px</w:t>
      </w:r>
    </w:p>
    <w:p>
      <w:pPr>
        <w:pStyle w:val="BodyText"/>
      </w:pPr>
      <w:r>
        <w:rPr>
          <w:b/>
          <w:bCs/>
        </w:rPr>
        <w:t xml:space="preserve">Доказательство:</w:t>
      </w:r>
      <w:r>
        <w:t xml:space="preserve"> </w:t>
      </w:r>
      <w:r>
        <w:t xml:space="preserve">Скриншот показывает, что дропдаун «О нас» висит поверх текста героя и не исчезает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Консоль/Network:</w:t>
      </w:r>
      <w:r>
        <w:t xml:space="preserve"> </w:t>
      </w:r>
      <w:r>
        <w:t xml:space="preserve">нет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Сбрасывать состояние всех выпадающих меню при смене страницы; добавить задержку закрытия (150–250 мс) и избегать сохранения фокуса между страницами.</w:t>
      </w:r>
    </w:p>
    <w:p>
      <w:r>
        <w:pict>
          <v:rect style="width:0;height:1.5pt" o:hralign="center" o:hrstd="t" o:hr="t"/>
        </w:pict>
      </w:r>
    </w:p>
    <w:bookmarkEnd w:id="22"/>
    <w:bookmarkStart w:id="23" w:name="dr002"/>
    <w:p>
      <w:pPr>
        <w:pStyle w:val="Heading2"/>
      </w:pPr>
      <w:r>
        <w:t xml:space="preserve">DR‑002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«Подарки» (</w:t>
      </w:r>
      <w:r>
        <w:rPr>
          <w:rStyle w:val="VerbatimChar"/>
        </w:rPr>
        <w:t xml:space="preserve">/gifts.html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 страницу</w:t>
      </w:r>
      <w:r>
        <w:t xml:space="preserve"> </w:t>
      </w:r>
      <w:r>
        <w:rPr>
          <w:rStyle w:val="VerbatimChar"/>
        </w:rPr>
        <w:t xml:space="preserve">gifts.html</w:t>
      </w:r>
      <w:r>
        <w:t xml:space="preserve">.</w:t>
      </w:r>
      <w:r>
        <w:t xml:space="preserve"> </w:t>
      </w:r>
      <w:r>
        <w:t xml:space="preserve">2. Прокрутите вниз до секции «Как оформить подарок» (четыре шага).</w:t>
      </w:r>
      <w:r>
        <w:t xml:space="preserve"> </w:t>
      </w:r>
      <w:r>
        <w:t xml:space="preserve">3. Установите ширину окна около 1024 px.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Четыре карточки шагов должны равномерно располагаться в одной строке или переходить на две строки с равными отступами; вертикальная соединительная линия должна соединять иконки шагов последовательно.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При ширине ~1024 px четвёртая карточка переносится на вторую строку, а вертикальная линия остаётся привязанной к первой строке. В результате шаг 4 «Оставьте пожелания» отображается отдельно от остальных, а линия перестаёт совпадать с иконкой</w:t>
      </w:r>
      <w:hyperlink r:id="rId21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ширина окна 1024 px</w:t>
      </w:r>
    </w:p>
    <w:p>
      <w:pPr>
        <w:pStyle w:val="BodyText"/>
      </w:pPr>
      <w:r>
        <w:rPr>
          <w:b/>
          <w:bCs/>
        </w:rPr>
        <w:t xml:space="preserve">Доказательство:</w:t>
      </w:r>
      <w:r>
        <w:t xml:space="preserve"> </w:t>
      </w:r>
      <w:r>
        <w:t xml:space="preserve">Скриншот демонстрирует перенос шага 4 на новую строку и неправильное расположение вертикальной линии</w:t>
      </w:r>
      <w:hyperlink r:id="rId21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Использовать адаптивную сетку (Flexbox/Grid) с равномерным распределением карточек и корректной привязкой декоративных линий; предусмотреть перенос 2×2 при средних разрешениях.</w:t>
      </w:r>
    </w:p>
    <w:p>
      <w:r>
        <w:pict>
          <v:rect style="width:0;height:1.5pt" o:hralign="center" o:hrstd="t" o:hr="t"/>
        </w:pict>
      </w:r>
    </w:p>
    <w:bookmarkEnd w:id="23"/>
    <w:bookmarkStart w:id="25" w:name="dr003"/>
    <w:p>
      <w:pPr>
        <w:pStyle w:val="Heading2"/>
      </w:pPr>
      <w:r>
        <w:t xml:space="preserve">DR‑003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«Терапия с кроликами» (</w:t>
      </w:r>
      <w:r>
        <w:rPr>
          <w:rStyle w:val="VerbatimChar"/>
        </w:rPr>
        <w:t xml:space="preserve">/therapy.html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 страницу</w:t>
      </w:r>
      <w:r>
        <w:t xml:space="preserve"> </w:t>
      </w:r>
      <w:r>
        <w:rPr>
          <w:rStyle w:val="VerbatimChar"/>
        </w:rPr>
        <w:t xml:space="preserve">therapy.html</w:t>
      </w:r>
      <w:r>
        <w:t xml:space="preserve">.</w:t>
      </w:r>
      <w:r>
        <w:t xml:space="preserve"> </w:t>
      </w:r>
      <w:r>
        <w:t xml:space="preserve">2. Прокрутите до блока с заголовком «Польза для каждого возраста».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Все карточки возрастных групп (0–3 года, 4–7 лет, 8–15 лет, 16+ и т.д.) должны быть выровнены по сетке; если элементов нечётное количество, выравнивание по центру или равномерный отступ.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Карточка возраста «60+ лет» переносится на новую строку и остаётся прижата к левому краю, оставляя пустое пространство справа</w:t>
      </w:r>
      <w:hyperlink r:id="rId24">
        <w:r>
          <w:rPr>
            <w:rStyle w:val="Hyperlink"/>
          </w:rPr>
          <w:t xml:space="preserve">[3]</w:t>
        </w:r>
      </w:hyperlink>
      <w:r>
        <w:t xml:space="preserve">. Из‑за этого блок выглядит незавершённым.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Доказательство:</w:t>
      </w:r>
      <w:r>
        <w:t xml:space="preserve"> </w:t>
      </w:r>
      <w:r>
        <w:t xml:space="preserve">Скриншот показывает, что карта «60+ лет» расположена отдельно от остальных и не выровнена по сетке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Изменить сетку или применить выравнивание по центру для последней карточки; предусмотреть одинаковые отступы для чётного и нечётного количества элементов.</w:t>
      </w:r>
    </w:p>
    <w:p>
      <w:r>
        <w:pict>
          <v:rect style="width:0;height:1.5pt" o:hralign="center" o:hrstd="t" o:hr="t"/>
        </w:pict>
      </w:r>
    </w:p>
    <w:bookmarkEnd w:id="25"/>
    <w:bookmarkStart w:id="26" w:name="dr004"/>
    <w:p>
      <w:pPr>
        <w:pStyle w:val="Heading2"/>
      </w:pPr>
      <w:r>
        <w:t xml:space="preserve">DR‑004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«Разведение» (</w:t>
      </w:r>
      <w:r>
        <w:rPr>
          <w:rStyle w:val="VerbatimChar"/>
        </w:rPr>
        <w:t xml:space="preserve">/breeding.html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 страницу</w:t>
      </w:r>
      <w:r>
        <w:t xml:space="preserve"> </w:t>
      </w:r>
      <w:r>
        <w:rPr>
          <w:rStyle w:val="VerbatimChar"/>
        </w:rPr>
        <w:t xml:space="preserve">breeding.html</w:t>
      </w:r>
      <w:r>
        <w:t xml:space="preserve">.</w:t>
      </w:r>
      <w:r>
        <w:t xml:space="preserve"> </w:t>
      </w:r>
      <w:r>
        <w:t xml:space="preserve">2. Прокрутите до блока «Польза для каждого возраста» (аналогично терапии).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Карточки возрастных групп располагаются равномерно.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Как и на странице терапии, карточка «60+ лет» переносится на отдельную строку и остаётся прижатой к левому краю, создавая пустоту справа. Это выглядит как обрыв сетки и нарушает визуальный баланс.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Применить те же исправления, что для DR‑003 — централизовать последний элемент или использовать адаптивную сетку.</w:t>
      </w:r>
    </w:p>
    <w:p>
      <w:r>
        <w:pict>
          <v:rect style="width:0;height:1.5pt" o:hralign="center" o:hrstd="t" o:hr="t"/>
        </w:pict>
      </w:r>
    </w:p>
    <w:bookmarkEnd w:id="26"/>
    <w:bookmarkStart w:id="27" w:name="dr005"/>
    <w:p>
      <w:pPr>
        <w:pStyle w:val="Heading2"/>
      </w:pPr>
      <w:r>
        <w:t xml:space="preserve">DR‑005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«Терапия» (</w:t>
      </w:r>
      <w:r>
        <w:rPr>
          <w:rStyle w:val="VerbatimChar"/>
        </w:rPr>
        <w:t xml:space="preserve">/therapy.html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 странице</w:t>
      </w:r>
      <w:r>
        <w:t xml:space="preserve"> </w:t>
      </w:r>
      <w:r>
        <w:rPr>
          <w:rStyle w:val="VerbatimChar"/>
        </w:rPr>
        <w:t xml:space="preserve">therapy.html</w:t>
      </w:r>
      <w:r>
        <w:t xml:space="preserve"> </w:t>
      </w:r>
      <w:r>
        <w:t xml:space="preserve">перейдите к секции «Как проходит терапия» (перечень из шести шагов).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Шесть карточек должны располагаться симметрично — например, 3×2 или 2×3, без большого пустого пространства.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Секция отображает четыре карточки в первой строке и лишь две — во второй. Это создаёт чувство незаконченности: правая часть второго ряда пустует, а шага 6 приходится искать в конце строки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Организовать карточки в равные ряды (3×2); сократить ширину карточек или изменить количество элементов на строку для сохранения баланса.</w:t>
      </w:r>
    </w:p>
    <w:p>
      <w:r>
        <w:pict>
          <v:rect style="width:0;height:1.5pt" o:hralign="center" o:hrstd="t" o:hr="t"/>
        </w:pict>
      </w:r>
    </w:p>
    <w:bookmarkEnd w:id="27"/>
    <w:bookmarkStart w:id="28" w:name="dr006"/>
    <w:p>
      <w:pPr>
        <w:pStyle w:val="Heading2"/>
      </w:pPr>
      <w:r>
        <w:t xml:space="preserve">DR‑006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«Наши партнёры» (</w:t>
      </w:r>
      <w:r>
        <w:rPr>
          <w:rStyle w:val="VerbatimChar"/>
        </w:rPr>
        <w:t xml:space="preserve">/partners/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Контент / Ссылки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 страницу</w:t>
      </w:r>
      <w:r>
        <w:t xml:space="preserve"> </w:t>
      </w:r>
      <w:r>
        <w:rPr>
          <w:rStyle w:val="VerbatimChar"/>
        </w:rPr>
        <w:t xml:space="preserve">partners/</w:t>
      </w:r>
      <w:r>
        <w:t xml:space="preserve">.</w:t>
      </w:r>
      <w:r>
        <w:t xml:space="preserve"> </w:t>
      </w:r>
      <w:r>
        <w:t xml:space="preserve">2. Прокрутите до блока «Основные каналы связи» с карточками контактов (бот, DexRabbitFarm, Telegram, Email и т.д.).</w:t>
      </w:r>
      <w:r>
        <w:t xml:space="preserve"> </w:t>
      </w:r>
      <w:r>
        <w:t xml:space="preserve">3. Нажмите на жёлтую карточку «Email».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Кнопка с почтовым адресом должна открывать почтовый клиент через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или хотя бы копировать адрес.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Нажатие на жёлтую карточку никак не реагирует — не происходит перехода и не открывается почтовое приложение. Пользователю приходится вручную копировать адрес.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Обернуть адрес ссылкой</w:t>
      </w:r>
      <w:r>
        <w:t xml:space="preserve"> </w:t>
      </w:r>
      <w:r>
        <w:rPr>
          <w:rStyle w:val="VerbatimChar"/>
        </w:rPr>
        <w:t xml:space="preserve">mailto:kupitkrolika@gmail.com</w:t>
      </w:r>
      <w:r>
        <w:t xml:space="preserve"> </w:t>
      </w:r>
      <w:r>
        <w:t xml:space="preserve">либо добавить функционал копирования.</w:t>
      </w:r>
    </w:p>
    <w:p>
      <w:r>
        <w:pict>
          <v:rect style="width:0;height:1.5pt" o:hralign="center" o:hrstd="t" o:hr="t"/>
        </w:pict>
      </w:r>
    </w:p>
    <w:bookmarkEnd w:id="28"/>
    <w:bookmarkStart w:id="30" w:name="dr007"/>
    <w:p>
      <w:pPr>
        <w:pStyle w:val="Heading2"/>
      </w:pPr>
      <w:r>
        <w:t xml:space="preserve">DR‑007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«Наши партнёры» (</w:t>
      </w:r>
      <w:r>
        <w:rPr>
          <w:rStyle w:val="VerbatimChar"/>
        </w:rPr>
        <w:t xml:space="preserve">/partners/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 странице</w:t>
      </w:r>
      <w:r>
        <w:t xml:space="preserve"> </w:t>
      </w:r>
      <w:r>
        <w:rPr>
          <w:rStyle w:val="VerbatimChar"/>
        </w:rPr>
        <w:t xml:space="preserve">partners/</w:t>
      </w:r>
      <w:r>
        <w:t xml:space="preserve"> </w:t>
      </w:r>
      <w:r>
        <w:t xml:space="preserve">прокрутите до карточек «Основные каналы связи».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Все карточки контактных каналов должны быть одинакового размера по высоте, чтобы сетка выглядела аккуратно.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Карточки отличаются по высоте: например, карточка с Telegram‑каналом занимает значительно больше пространства, чем карточка Email или Подкасты. Из-за этого сетка выглядит неровной и «ломаной»</w:t>
      </w:r>
      <w:hyperlink r:id="rId29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Выравнивать элементы по высоте или создавать сетку с одинаковыми размерами карточек.</w:t>
      </w:r>
    </w:p>
    <w:p>
      <w:r>
        <w:pict>
          <v:rect style="width:0;height:1.5pt" o:hralign="center" o:hrstd="t" o:hr="t"/>
        </w:pict>
      </w:r>
    </w:p>
    <w:bookmarkEnd w:id="30"/>
    <w:bookmarkStart w:id="32" w:name="dr008"/>
    <w:p>
      <w:pPr>
        <w:pStyle w:val="Heading2"/>
      </w:pPr>
      <w:r>
        <w:t xml:space="preserve">DR‑008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«Гарантии и обязательства» (</w:t>
      </w:r>
      <w:r>
        <w:rPr>
          <w:rStyle w:val="VerbatimChar"/>
        </w:rPr>
        <w:t xml:space="preserve">/guarantees.html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Анимации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</w:t>
      </w:r>
      <w:r>
        <w:t xml:space="preserve"> </w:t>
      </w:r>
      <w:r>
        <w:rPr>
          <w:rStyle w:val="VerbatimChar"/>
        </w:rPr>
        <w:t xml:space="preserve">guarantees.html</w:t>
      </w:r>
      <w:r>
        <w:t xml:space="preserve">.</w:t>
      </w:r>
      <w:r>
        <w:t xml:space="preserve"> </w:t>
      </w:r>
      <w:r>
        <w:t xml:space="preserve">2. Прокрутите до раздела «Управление рисками» с нумерованными пунктами (1–4).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Линия‑коннектор и кружочки‑маркер должны чётко совпадать с каждой карточкой.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Вертикальная линия с точками проходит не посередине блоков, а смещена влево; кружки иногда не совпадают по вертикали с заголовками пунктов</w:t>
      </w:r>
      <w:hyperlink r:id="rId31">
        <w:r>
          <w:rPr>
            <w:rStyle w:val="Hyperlink"/>
          </w:rPr>
          <w:t xml:space="preserve">[6]</w:t>
        </w:r>
      </w:hyperlink>
      <w:r>
        <w:t xml:space="preserve">. Это создаёт ощущение кривой оси.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Подкорректировать позиционирование линии и точек (использовать CSS Grid или Flexbox), чтобы они были строго выровнены относительно карточек.</w:t>
      </w:r>
    </w:p>
    <w:p>
      <w:r>
        <w:pict>
          <v:rect style="width:0;height:1.5pt" o:hralign="center" o:hrstd="t" o:hr="t"/>
        </w:pict>
      </w:r>
    </w:p>
    <w:bookmarkEnd w:id="32"/>
    <w:bookmarkStart w:id="33" w:name="dr009"/>
    <w:p>
      <w:pPr>
        <w:pStyle w:val="Heading2"/>
      </w:pPr>
      <w:r>
        <w:t xml:space="preserve">DR‑009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«Подарки» (</w:t>
      </w:r>
      <w:r>
        <w:rPr>
          <w:rStyle w:val="VerbatimChar"/>
        </w:rPr>
        <w:t xml:space="preserve">/gifts.html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Контент / Терминология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 страницу</w:t>
      </w:r>
      <w:r>
        <w:t xml:space="preserve"> </w:t>
      </w:r>
      <w:r>
        <w:rPr>
          <w:rStyle w:val="VerbatimChar"/>
        </w:rPr>
        <w:t xml:space="preserve">gifts.html</w:t>
      </w:r>
      <w:r>
        <w:t xml:space="preserve">.</w:t>
      </w:r>
      <w:r>
        <w:t xml:space="preserve"> </w:t>
      </w:r>
      <w:r>
        <w:t xml:space="preserve">2. В блоке «Идеальные поводы для подарка» обратите внимание на заголовки карточек.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Термины должны быть согласованы с содержимым; пунктуация унифицирована.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В одном из пунктов используется английское слово «UniBirthday», тогда как остальные карточки написаны по‑русски. Набор терминов выглядит несогласованно.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Перевести англоязычный термин на русский или привести стиль к единому виду.</w:t>
      </w:r>
    </w:p>
    <w:p>
      <w:r>
        <w:pict>
          <v:rect style="width:0;height:1.5pt" o:hralign="center" o:hrstd="t" o:hr="t"/>
        </w:pict>
      </w:r>
    </w:p>
    <w:bookmarkEnd w:id="33"/>
    <w:bookmarkStart w:id="35" w:name="dr010"/>
    <w:p>
      <w:pPr>
        <w:pStyle w:val="Heading2"/>
      </w:pPr>
      <w:r>
        <w:t xml:space="preserve">DR‑010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«Сотрудничество с блогерами» (</w:t>
      </w:r>
      <w:r>
        <w:rPr>
          <w:rStyle w:val="VerbatimChar"/>
        </w:rPr>
        <w:t xml:space="preserve">/bloggers.html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Вёрстка / Сетка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Откройте</w:t>
      </w:r>
      <w:r>
        <w:t xml:space="preserve"> </w:t>
      </w:r>
      <w:r>
        <w:rPr>
          <w:rStyle w:val="VerbatimChar"/>
        </w:rPr>
        <w:t xml:space="preserve">bloggers.html</w:t>
      </w:r>
      <w:r>
        <w:t xml:space="preserve">.</w:t>
      </w:r>
      <w:r>
        <w:t xml:space="preserve"> </w:t>
      </w:r>
      <w:r>
        <w:t xml:space="preserve">2. Прокрутите до раздела с карточками контент‑платформ (YouTube, Telegram, Instagram/VK/OK, Подкасты).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Карточки должны располагаться в единой сетке с одинаковой высотой.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Карточки имеют разную высоту: блок с Telegram содержит ссылки на два канала и сильно вытягивается вниз; блок с Подкастами — пустой. Из‑за этого ряды выглядят неровно</w:t>
      </w:r>
      <w:hyperlink r:id="rId34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Ограничить высоту карточек или выравнивать содержимое по высоте; сократить текст или перейти на нескольких рядов одинаковой высоты.</w:t>
      </w:r>
    </w:p>
    <w:p>
      <w:r>
        <w:pict>
          <v:rect style="width:0;height:1.5pt" o:hralign="center" o:hrstd="t" o:hr="t"/>
        </w:pict>
      </w:r>
    </w:p>
    <w:bookmarkEnd w:id="35"/>
    <w:bookmarkStart w:id="36" w:name="dr011"/>
    <w:p>
      <w:pPr>
        <w:pStyle w:val="Heading2"/>
      </w:pPr>
      <w:r>
        <w:t xml:space="preserve">DR‑011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«Каталог» (</w:t>
      </w:r>
      <w:r>
        <w:rPr>
          <w:rStyle w:val="VerbatimChar"/>
        </w:rPr>
        <w:t xml:space="preserve">/catalog/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Навигация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Перейдите в каталог через пункт «Каталог» в меню «Услуги».</w:t>
      </w:r>
      <w:r>
        <w:t xml:space="preserve"> </w:t>
      </w:r>
      <w:r>
        <w:t xml:space="preserve">2. В футере каталога найдите ссылку «Уход за кроликами».</w:t>
      </w:r>
      <w:r>
        <w:t xml:space="preserve"> </w:t>
      </w:r>
      <w:r>
        <w:t xml:space="preserve">3. Нажмите на неё.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Ссылка должна вести на страницу ухода (</w:t>
      </w:r>
      <w:r>
        <w:rPr>
          <w:rStyle w:val="VerbatimChar"/>
        </w:rPr>
        <w:t xml:space="preserve">care.html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Ссылка ведёт на страницу</w:t>
      </w:r>
      <w:r>
        <w:t xml:space="preserve"> </w:t>
      </w:r>
      <w:r>
        <w:rPr>
          <w:rStyle w:val="VerbatimChar"/>
        </w:rPr>
        <w:t xml:space="preserve">care.html</w:t>
      </w:r>
      <w:r>
        <w:t xml:space="preserve">, но открывается без прокрутки наверх: пользователь сразу попадает в середину страницы. Это сбивает с толку.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При навигации по внутренним ссылкам устанавливать позицию прокрутки в начало (</w:t>
      </w:r>
      <w:r>
        <w:rPr>
          <w:rStyle w:val="VerbatimChar"/>
        </w:rPr>
        <w:t xml:space="preserve">scrollTo(0, 0)</w:t>
      </w:r>
      <w:r>
        <w:t xml:space="preserve">), чтобы посетитель начинал просмотр с верхней части.</w:t>
      </w:r>
    </w:p>
    <w:p>
      <w:r>
        <w:pict>
          <v:rect style="width:0;height:1.5pt" o:hralign="center" o:hrstd="t" o:hr="t"/>
        </w:pict>
      </w:r>
    </w:p>
    <w:bookmarkEnd w:id="36"/>
    <w:bookmarkStart w:id="38" w:name="dr012"/>
    <w:p>
      <w:pPr>
        <w:pStyle w:val="Heading2"/>
      </w:pPr>
      <w:r>
        <w:t xml:space="preserve">DR‑012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«Каталог» (</w:t>
      </w:r>
      <w:r>
        <w:rPr>
          <w:rStyle w:val="VerbatimChar"/>
        </w:rPr>
        <w:t xml:space="preserve">/catalog/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Контент / Вёрстка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 странице</w:t>
      </w:r>
      <w:r>
        <w:t xml:space="preserve"> </w:t>
      </w:r>
      <w:r>
        <w:rPr>
          <w:rStyle w:val="VerbatimChar"/>
        </w:rPr>
        <w:t xml:space="preserve">catalog/</w:t>
      </w:r>
      <w:r>
        <w:t xml:space="preserve"> </w:t>
      </w:r>
      <w:r>
        <w:t xml:space="preserve">прокрутите до раздела с карточками «Элитные производители».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Фотографии кроликов должны быть одинаковых размеров, не обрезать важные элементы.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Некоторые изображения сильно обрезаны по вертикали — у кроликов «срезаны» уши и часть головы, что портит впечатление</w:t>
      </w:r>
      <w:hyperlink r:id="rId37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Настроить</w:t>
      </w:r>
      <w:r>
        <w:t xml:space="preserve"> </w:t>
      </w:r>
      <w:r>
        <w:rPr>
          <w:rStyle w:val="VerbatimChar"/>
        </w:rPr>
        <w:t xml:space="preserve">object-fit: cover/contain</w:t>
      </w:r>
      <w:r>
        <w:t xml:space="preserve"> </w:t>
      </w:r>
      <w:r>
        <w:t xml:space="preserve">и подогнать размеры карточек, чтобы изображения не обрезались; либо использовать фотографии с подходящим кадрированием.</w:t>
      </w:r>
    </w:p>
    <w:p>
      <w:r>
        <w:pict>
          <v:rect style="width:0;height:1.5pt" o:hralign="center" o:hrstd="t" o:hr="t"/>
        </w:pict>
      </w:r>
    </w:p>
    <w:bookmarkEnd w:id="38"/>
    <w:bookmarkStart w:id="39" w:name="dr013"/>
    <w:p>
      <w:pPr>
        <w:pStyle w:val="Heading2"/>
      </w:pPr>
      <w:r>
        <w:t xml:space="preserve">DR‑013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Общий (много страниц)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Доступность / Контраст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 любой странице с тёмной темой обратите внимание на серый текст (например, описание преимуществ или подписи к картинкам).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Цвет текста должен иметь достаточный контраст по отношению к фону (минимум 4.5:1 по WCAG для обычного текста).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Многие подписи и второстепенные тексты выполнены в светло‑сером цвете на тёмно‑синем фоне. Контраст низкий, что усложняет чтение, особенно при ярком освещении или на мониторах с низкой яркостью.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Использовать более светлый оттенок текста или увеличить шрифт; проверить контраст по WCAG.</w:t>
      </w:r>
    </w:p>
    <w:p>
      <w:r>
        <w:pict>
          <v:rect style="width:0;height:1.5pt" o:hralign="center" o:hrstd="t" o:hr="t"/>
        </w:pict>
      </w:r>
    </w:p>
    <w:bookmarkEnd w:id="39"/>
    <w:bookmarkStart w:id="40" w:name="dr014"/>
    <w:p>
      <w:pPr>
        <w:pStyle w:val="Heading2"/>
      </w:pPr>
      <w:r>
        <w:t xml:space="preserve">DR‑014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Общий (много страниц)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Доступность / Размер кликабельной зоны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Наведите курсор на иконки социальных сетей в футере или на карточках.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Кликабельная область должна охватывать всю иконку и иметь размер не менее 44×44 px.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Иконки Telegram/Instagram/Email имеют очень маленькую кликабельную область: курсор должен попасть точно в иконку, иначе переход не срабатывает. Это неудобно для пользователей с плохой моторикой.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Desktop, 1440 px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Увеличить отступы (padding) вокруг иконок и задать минимальные размеры ссылок; это улучшит UX и соответствует рекомендациям Apple/Google.</w:t>
      </w:r>
    </w:p>
    <w:p>
      <w:r>
        <w:pict>
          <v:rect style="width:0;height:1.5pt" o:hralign="center" o:hrstd="t" o:hr="t"/>
        </w:pict>
      </w:r>
    </w:p>
    <w:bookmarkEnd w:id="40"/>
    <w:bookmarkStart w:id="41" w:name="dr015"/>
    <w:p>
      <w:pPr>
        <w:pStyle w:val="Heading2"/>
      </w:pPr>
      <w:r>
        <w:t xml:space="preserve">DR‑015</w:t>
      </w:r>
    </w:p>
    <w:p>
      <w:pPr>
        <w:pStyle w:val="FirstParagraph"/>
      </w:pPr>
      <w:r>
        <w:rPr>
          <w:b/>
          <w:bCs/>
        </w:rPr>
        <w:t xml:space="preserve">Страница/URL:</w:t>
      </w:r>
      <w:r>
        <w:t xml:space="preserve"> </w:t>
      </w:r>
      <w:r>
        <w:t xml:space="preserve">Общий (много страниц)</w:t>
      </w:r>
    </w:p>
    <w:p>
      <w:pPr>
        <w:pStyle w:val="BodyText"/>
      </w:pPr>
      <w:r>
        <w:rPr>
          <w:b/>
          <w:bCs/>
        </w:rPr>
        <w:t xml:space="preserve">Серьёзность: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Вид:</w:t>
      </w:r>
      <w:r>
        <w:t xml:space="preserve"> </w:t>
      </w:r>
      <w:r>
        <w:t xml:space="preserve">Доступность / Alt‑тексты</w:t>
      </w:r>
    </w:p>
    <w:p>
      <w:pPr>
        <w:pStyle w:val="BodyText"/>
      </w:pPr>
      <w:r>
        <w:rPr>
          <w:b/>
          <w:bCs/>
        </w:rPr>
        <w:t xml:space="preserve">Шаги для воспроизведения:</w:t>
      </w:r>
      <w:r>
        <w:t xml:space="preserve"> </w:t>
      </w:r>
      <w:r>
        <w:t xml:space="preserve">1. Попробуйте просмотреть HTML‑код изображений (например, через инспектор или просмотр исходного кода).</w:t>
      </w:r>
    </w:p>
    <w:p>
      <w:pPr>
        <w:pStyle w:val="BodyText"/>
      </w:pPr>
      <w:r>
        <w:rPr>
          <w:b/>
          <w:bCs/>
        </w:rPr>
        <w:t xml:space="preserve">Ожидаю:</w:t>
      </w:r>
      <w:r>
        <w:t xml:space="preserve"> </w:t>
      </w:r>
      <w:r>
        <w:t xml:space="preserve">Ключевые изображения (герой‑блоки, карточки кроликов) должны иметь атрибут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с кратким описанием.</w:t>
      </w:r>
    </w:p>
    <w:p>
      <w:pPr>
        <w:pStyle w:val="BodyText"/>
      </w:pPr>
      <w:r>
        <w:rPr>
          <w:b/>
          <w:bCs/>
        </w:rPr>
        <w:t xml:space="preserve">Фактически:</w:t>
      </w:r>
      <w:r>
        <w:t xml:space="preserve"> </w:t>
      </w:r>
      <w:r>
        <w:t xml:space="preserve">Большинство изображений на сайте имеют пустой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или отсутствует атрибут вообще. Это ухудшает доступность для людей, использующих экранные дикторы, и влияет на SEO.</w:t>
      </w:r>
    </w:p>
    <w:p>
      <w:pPr>
        <w:pStyle w:val="BodyText"/>
      </w:pPr>
      <w:r>
        <w:rPr>
          <w:b/>
          <w:bCs/>
        </w:rPr>
        <w:t xml:space="preserve">Девайс/Экран:</w:t>
      </w:r>
      <w:r>
        <w:t xml:space="preserve"> </w:t>
      </w:r>
      <w:r>
        <w:t xml:space="preserve">Desktop</w:t>
      </w:r>
    </w:p>
    <w:p>
      <w:pPr>
        <w:pStyle w:val="BodyText"/>
      </w:pPr>
      <w:r>
        <w:rPr>
          <w:b/>
          <w:bCs/>
        </w:rPr>
        <w:t xml:space="preserve">Рекомендация:</w:t>
      </w:r>
      <w:r>
        <w:t xml:space="preserve"> </w:t>
      </w:r>
      <w:r>
        <w:t xml:space="preserve">Добавить осмысленные</w:t>
      </w:r>
      <w:r>
        <w:t xml:space="preserve"> </w:t>
      </w:r>
      <w:r>
        <w:rPr>
          <w:rStyle w:val="VerbatimChar"/>
        </w:rPr>
        <w:t xml:space="preserve">alt</w:t>
      </w:r>
      <w:r>
        <w:t xml:space="preserve">‑тексты к каждому изображению, особенно в карточках кроликов и в герой‑блоках.</w:t>
      </w:r>
    </w:p>
    <w:p>
      <w:r>
        <w:pict>
          <v:rect style="width:0;height:1.5pt" o:hralign="center" o:hrstd="t" o:hr="t"/>
        </w:pict>
      </w:r>
    </w:p>
    <w:bookmarkEnd w:id="41"/>
    <w:bookmarkStart w:id="42" w:name="итоговое-распределение-серьёзности"/>
    <w:p>
      <w:pPr>
        <w:pStyle w:val="Heading2"/>
      </w:pPr>
      <w:r>
        <w:t xml:space="preserve">Итоговое распределение серьёзности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Серьёзность</w:t>
            </w:r>
          </w:p>
        </w:tc>
        <w:tc>
          <w:tcPr/>
          <w:p>
            <w:pPr>
              <w:pStyle w:val="Compact"/>
            </w:pPr>
            <w:r>
              <w:t xml:space="preserve">Количество проблем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Blocker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Большинство найденных дефектов относятся к вёрстке и доступности. Исправление этих недостатков улучшит пользовательский опыт и восприятие бренда.</w:t>
      </w:r>
    </w:p>
    <w:bookmarkEnd w:id="42"/>
    <w:bookmarkEnd w:id="43"/>
    <w:bookmarkEnd w:id="44"/>
    <w:p>
      <w:r>
        <w:pict>
          <v:rect style="width:0;height:1.5pt" o:hralign="center" o:hrstd="t" o:hr="t"/>
        </w:pict>
      </w:r>
    </w:p>
    <w:bookmarkStart w:id="4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1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Кролик в подарок — DEXRabbit | Инвестиционный подарок</w:t>
      </w:r>
    </w:p>
    <w:p>
      <w:pPr>
        <w:pStyle w:val="BodyText"/>
      </w:pPr>
      <w:hyperlink r:id="rId21">
        <w:r>
          <w:rPr>
            <w:rStyle w:val="Hyperlink"/>
          </w:rPr>
          <w:t xml:space="preserve">https://xn--80apagbbfxgmuj4j.site/gifts.html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Кролико терапия — DEXRabbit | Антистресс для всей семьи</w:t>
      </w:r>
    </w:p>
    <w:p>
      <w:pPr>
        <w:pStyle w:val="BodyText"/>
      </w:pPr>
      <w:hyperlink r:id="rId24">
        <w:r>
          <w:rPr>
            <w:rStyle w:val="Hyperlink"/>
          </w:rPr>
          <w:t xml:space="preserve">https://xn--80apagbbfxgmuj4j.site/therapy.html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Наши партнёры — DEXRabbit</w:t>
      </w:r>
    </w:p>
    <w:p>
      <w:pPr>
        <w:pStyle w:val="BodyText"/>
      </w:pPr>
      <w:hyperlink r:id="rId29">
        <w:r>
          <w:rPr>
            <w:rStyle w:val="Hyperlink"/>
          </w:rPr>
          <w:t xml:space="preserve">https://xn--80apagbbfxgmuj4j.site/partners/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Гарантии и обязательства - DEXRabbit | Защита инвесторов</w:t>
      </w:r>
    </w:p>
    <w:p>
      <w:pPr>
        <w:pStyle w:val="BodyText"/>
      </w:pPr>
      <w:hyperlink r:id="rId31">
        <w:r>
          <w:rPr>
            <w:rStyle w:val="Hyperlink"/>
          </w:rPr>
          <w:t xml:space="preserve">https://xn--80apagbbfxgmuj4j.site/guarantees.html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Сотрудничество с блогерами — DEXRabbit</w:t>
      </w:r>
    </w:p>
    <w:p>
      <w:pPr>
        <w:pStyle w:val="BodyText"/>
      </w:pPr>
      <w:hyperlink r:id="rId34">
        <w:r>
          <w:rPr>
            <w:rStyle w:val="Hyperlink"/>
          </w:rPr>
          <w:t xml:space="preserve">https://xn--80apagbbfxgmuj4j.site/bloggers.html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Каталог кроликов — DEXRabbit</w:t>
      </w:r>
    </w:p>
    <w:p>
      <w:pPr>
        <w:pStyle w:val="BodyText"/>
      </w:pPr>
      <w:hyperlink r:id="rId37">
        <w:r>
          <w:rPr>
            <w:rStyle w:val="Hyperlink"/>
          </w:rPr>
          <w:t xml:space="preserve">https://xn--80apagbbfxgmuj4j.site/catalog/</w:t>
        </w:r>
      </w:hyperlink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xn--80apagbbfxgmuj4j.site/bloggers.html" TargetMode="External" /><Relationship Type="http://schemas.openxmlformats.org/officeDocument/2006/relationships/hyperlink" Id="rId37" Target="https://xn--80apagbbfxgmuj4j.site/catalog/" TargetMode="External" /><Relationship Type="http://schemas.openxmlformats.org/officeDocument/2006/relationships/hyperlink" Id="rId21" Target="https://xn--80apagbbfxgmuj4j.site/gifts.html" TargetMode="External" /><Relationship Type="http://schemas.openxmlformats.org/officeDocument/2006/relationships/hyperlink" Id="rId31" Target="https://xn--80apagbbfxgmuj4j.site/guarantees.html" TargetMode="External" /><Relationship Type="http://schemas.openxmlformats.org/officeDocument/2006/relationships/hyperlink" Id="rId29" Target="https://xn--80apagbbfxgmuj4j.site/partners/" TargetMode="External" /><Relationship Type="http://schemas.openxmlformats.org/officeDocument/2006/relationships/hyperlink" Id="rId24" Target="https://xn--80apagbbfxgmuj4j.site/therap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xn--80apagbbfxgmuj4j.site/bloggers.html" TargetMode="External" /><Relationship Type="http://schemas.openxmlformats.org/officeDocument/2006/relationships/hyperlink" Id="rId37" Target="https://xn--80apagbbfxgmuj4j.site/catalog/" TargetMode="External" /><Relationship Type="http://schemas.openxmlformats.org/officeDocument/2006/relationships/hyperlink" Id="rId21" Target="https://xn--80apagbbfxgmuj4j.site/gifts.html" TargetMode="External" /><Relationship Type="http://schemas.openxmlformats.org/officeDocument/2006/relationships/hyperlink" Id="rId31" Target="https://xn--80apagbbfxgmuj4j.site/guarantees.html" TargetMode="External" /><Relationship Type="http://schemas.openxmlformats.org/officeDocument/2006/relationships/hyperlink" Id="rId29" Target="https://xn--80apagbbfxgmuj4j.site/partners/" TargetMode="External" /><Relationship Type="http://schemas.openxmlformats.org/officeDocument/2006/relationships/hyperlink" Id="rId24" Target="https://xn--80apagbbfxgmuj4j.site/therap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2025-10-03T05:44:25Z</dcterms:created>
  <dcterms:modified xsi:type="dcterms:W3CDTF">2025-10-03T05:44:25Z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