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fig. 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Emacs</w:t>
            </w:r>
          </w:p>
        </w:tc>
      </w:tr>
    </w:tbl>
    <w:p>
      <w:pPr>
        <w:pStyle w:val="ImageCaption"/>
      </w:pPr>
      <w:r>
        <w:t xml:space="preserve">Рис. 1: Открытие Emacs</w:t>
      </w:r>
    </w:p>
    <w:p>
      <w:pPr>
        <w:pStyle w:val="BodyText"/>
      </w:pPr>
      <w:r>
        <w:t xml:space="preserve">Создаю файл lab07.sh с помощью комбинации Ctrl-x Ctrl-f (рис. fig. 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lab07.sh</w:t>
            </w:r>
          </w:p>
        </w:tc>
      </w:tr>
    </w:tbl>
    <w:p>
      <w:pPr>
        <w:pStyle w:val="ImageCaption"/>
      </w:pPr>
      <w:r>
        <w:t xml:space="preserve">Рис. 2: Создание файла lab07.sh</w:t>
      </w:r>
    </w:p>
    <w:p>
      <w:pPr>
        <w:pStyle w:val="BodyText"/>
      </w:pPr>
      <w:r>
        <w:t xml:space="preserve">Прописываю в файле текст программы (рис. fig. 3).</w:t>
      </w:r>
    </w:p>
    <w:p>
      <w:pPr>
        <w:pStyle w:val="CaptionedFigure"/>
      </w:pPr>
      <w:r>
        <w:drawing>
          <wp:inline>
            <wp:extent cx="3733800" cy="1464349"/>
            <wp:effectExtent b="0" l="0" r="0" t="0"/>
            <wp:docPr descr="Редакт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Сохраняю файл с помощью комбинации C-x C-s (рис. fig. 4).</w:t>
      </w:r>
    </w:p>
    <w:p>
      <w:pPr>
        <w:pStyle w:val="CaptionedFigure"/>
      </w:pPr>
      <w:r>
        <w:drawing>
          <wp:inline>
            <wp:extent cx="3733800" cy="448733"/>
            <wp:effectExtent b="0" l="0" r="0" t="0"/>
            <wp:docPr descr="Сохранение изменений в файле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 fig. 5).</w:t>
      </w:r>
    </w:p>
    <w:p>
      <w:pPr>
        <w:pStyle w:val="CaptionedFigure"/>
      </w:pPr>
      <w:r>
        <w:drawing>
          <wp:inline>
            <wp:extent cx="3733800" cy="991070"/>
            <wp:effectExtent b="0" l="0" r="0" t="0"/>
            <wp:docPr descr="Вырезание строки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Вставляю эту строку в конец файла (C-y) (рис. fig. 6).</w:t>
      </w:r>
    </w:p>
    <w:p>
      <w:pPr>
        <w:pStyle w:val="CaptionedFigure"/>
      </w:pPr>
      <w:r>
        <w:drawing>
          <wp:inline>
            <wp:extent cx="3733800" cy="991070"/>
            <wp:effectExtent b="0" l="0" r="0" t="0"/>
            <wp:docPr descr="Вставка строки в конце файла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строки в конце файла</w:t>
      </w:r>
    </w:p>
    <w:p>
      <w:pPr>
        <w:pStyle w:val="BodyText"/>
      </w:pPr>
      <w:r>
        <w:t xml:space="preserve">Выделяю область текста (C-space), копирую область в буфер обмена (M-w), вырезаю эту область с помощью C-w (рис. fig. 7).</w:t>
      </w:r>
    </w:p>
    <w:p>
      <w:pPr>
        <w:pStyle w:val="CaptionedFigure"/>
      </w:pPr>
      <w:r>
        <w:drawing>
          <wp:inline>
            <wp:extent cx="3733800" cy="1678030"/>
            <wp:effectExtent b="0" l="0" r="0" t="0"/>
            <wp:docPr descr="Вырезанная область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</w:t>
      </w:r>
    </w:p>
    <w:p>
      <w:pPr>
        <w:pStyle w:val="BodyText"/>
      </w:pPr>
      <w:r>
        <w:t xml:space="preserve">Вставляю область в конец файла (С-у)(рис. fig. 8).</w:t>
      </w:r>
    </w:p>
    <w:p>
      <w:pPr>
        <w:pStyle w:val="CaptionedFigure"/>
      </w:pPr>
      <w:r>
        <w:drawing>
          <wp:inline>
            <wp:extent cx="3733800" cy="1961334"/>
            <wp:effectExtent b="0" l="0" r="0" t="0"/>
            <wp:docPr descr="Вставка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в конец файла</w:t>
      </w:r>
    </w:p>
    <w:p>
      <w:pPr>
        <w:pStyle w:val="BodyText"/>
      </w:pPr>
      <w:r>
        <w:t xml:space="preserve">Отменяю последнее действие С-/ (рис. fig. 9).</w:t>
      </w:r>
    </w:p>
    <w:p>
      <w:pPr>
        <w:pStyle w:val="CaptionedFigure"/>
      </w:pPr>
      <w:r>
        <w:drawing>
          <wp:inline>
            <wp:extent cx="3733800" cy="3213903"/>
            <wp:effectExtent b="0" l="0" r="0" t="0"/>
            <wp:docPr descr="Отмена последнего действия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последнего действия</w:t>
      </w:r>
    </w:p>
    <w:p>
      <w:pPr>
        <w:pStyle w:val="BodyText"/>
      </w:pPr>
      <w:r>
        <w:t xml:space="preserve">Перемещаю курсор в начало строки С-а (рис. fig. 10).</w:t>
      </w:r>
    </w:p>
    <w:p>
      <w:pPr>
        <w:pStyle w:val="CaptionedFigure"/>
      </w:pPr>
      <w:r>
        <w:drawing>
          <wp:inline>
            <wp:extent cx="3733800" cy="1050877"/>
            <wp:effectExtent b="0" l="0" r="0" t="0"/>
            <wp:docPr descr="Курсор в начале строки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Перемещаю курсор в конец строки С-е (рис. fig. 11).</w:t>
      </w:r>
    </w:p>
    <w:p>
      <w:pPr>
        <w:pStyle w:val="CaptionedFigure"/>
      </w:pPr>
      <w:r>
        <w:drawing>
          <wp:inline>
            <wp:extent cx="3733800" cy="1050877"/>
            <wp:effectExtent b="0" l="0" r="0" t="0"/>
            <wp:docPr descr="Курсор в конце строки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Перемещаю курсор в начало файла М-&lt; (рис. fig. 12).</w:t>
      </w:r>
    </w:p>
    <w:p>
      <w:pPr>
        <w:pStyle w:val="CaptionedFigure"/>
      </w:pPr>
      <w:r>
        <w:drawing>
          <wp:inline>
            <wp:extent cx="3733800" cy="1778930"/>
            <wp:effectExtent b="0" l="0" r="0" t="0"/>
            <wp:docPr descr="Начало буфера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Начало буфера</w:t>
      </w:r>
    </w:p>
    <w:p>
      <w:pPr>
        <w:pStyle w:val="BodyText"/>
      </w:pPr>
      <w:r>
        <w:t xml:space="preserve">Перемещаю курсор в конец файла M-&gt;(рис. fig. 13).</w:t>
      </w:r>
    </w:p>
    <w:p>
      <w:pPr>
        <w:pStyle w:val="CaptionedFigure"/>
      </w:pPr>
      <w:r>
        <w:drawing>
          <wp:inline>
            <wp:extent cx="3733800" cy="1778930"/>
            <wp:effectExtent b="0" l="0" r="0" t="0"/>
            <wp:docPr descr="Конец буфера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Конец буфера</w:t>
      </w:r>
    </w:p>
    <w:p>
      <w:pPr>
        <w:pStyle w:val="BodyText"/>
      </w:pPr>
      <w:r>
        <w:t xml:space="preserve">Открываю список активных буферов в другом окне C-x C-b (рис. fig. 14).</w:t>
      </w:r>
    </w:p>
    <w:p>
      <w:pPr>
        <w:pStyle w:val="CaptionedFigure"/>
      </w:pPr>
      <w:r>
        <w:drawing>
          <wp:inline>
            <wp:extent cx="3733800" cy="975560"/>
            <wp:effectExtent b="0" l="0" r="0" t="0"/>
            <wp:docPr descr="Список активных буферов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активных буферов</w:t>
      </w:r>
    </w:p>
    <w:p>
      <w:pPr>
        <w:pStyle w:val="BodyText"/>
      </w:pPr>
      <w:r>
        <w:t xml:space="preserve">Переключаюсь на другой буфер C-x o (рис. fig. 15).</w:t>
      </w:r>
    </w:p>
    <w:p>
      <w:pPr>
        <w:pStyle w:val="CaptionedFigure"/>
      </w:pPr>
      <w:r>
        <w:drawing>
          <wp:inline>
            <wp:extent cx="3733800" cy="2309060"/>
            <wp:effectExtent b="0" l="0" r="0" t="0"/>
            <wp:docPr descr="Другое окно буфера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Другое окно буфера</w:t>
      </w:r>
    </w:p>
    <w:p>
      <w:pPr>
        <w:pStyle w:val="BodyText"/>
      </w:pPr>
      <w:r>
        <w:t xml:space="preserve">Закрываю окно другого буфера C-x 0 (рис. fig. 16).</w:t>
      </w:r>
    </w:p>
    <w:p>
      <w:pPr>
        <w:pStyle w:val="CaptionedFigure"/>
      </w:pPr>
      <w:r>
        <w:drawing>
          <wp:inline>
            <wp:extent cx="3733800" cy="4281236"/>
            <wp:effectExtent b="0" l="0" r="0" t="0"/>
            <wp:docPr descr="Закрытие буфера" title="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 (рис. fig. 17).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Открытие другого буфера" title="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fig. 18).</w:t>
      </w:r>
    </w:p>
    <w:p>
      <w:pPr>
        <w:pStyle w:val="CaptionedFigure"/>
      </w:pPr>
      <w:r>
        <w:drawing>
          <wp:inline>
            <wp:extent cx="3733800" cy="3070013"/>
            <wp:effectExtent b="0" l="0" r="0" t="0"/>
            <wp:docPr descr="Четыре окна" title="" id="68" name="Picture"/>
            <a:graphic>
              <a:graphicData uri="http://schemas.openxmlformats.org/drawingml/2006/picture">
                <pic:pic>
                  <pic:nvPicPr>
                    <pic:cNvPr descr="image/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ввела</w:t>
      </w:r>
      <w:r>
        <w:t xml:space="preserve"> </w:t>
      </w:r>
      <w:r>
        <w:t xml:space="preserve">несколько строк текста (рис. fig. 19).</w:t>
      </w:r>
    </w:p>
    <w:p>
      <w:pPr>
        <w:pStyle w:val="CaptionedFigure"/>
      </w:pPr>
      <w:r>
        <w:drawing>
          <wp:inline>
            <wp:extent cx="3733800" cy="3479694"/>
            <wp:effectExtent b="0" l="0" r="0" t="0"/>
            <wp:docPr descr="Открытие буферов в четырех окнах" title="" id="71" name="Picture"/>
            <a:graphic>
              <a:graphicData uri="http://schemas.openxmlformats.org/drawingml/2006/picture">
                <pic:pic>
                  <pic:nvPicPr>
                    <pic:cNvPr descr="image/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fig. 20).</w:t>
      </w:r>
    </w:p>
    <w:p>
      <w:pPr>
        <w:pStyle w:val="CaptionedFigure"/>
      </w:pPr>
      <w:r>
        <w:drawing>
          <wp:inline>
            <wp:extent cx="3733800" cy="1846948"/>
            <wp:effectExtent b="0" l="0" r="0" t="0"/>
            <wp:docPr descr="Режим поиска" title="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 fig. 21).</w:t>
      </w:r>
    </w:p>
    <w:p>
      <w:pPr>
        <w:pStyle w:val="CaptionedFigure"/>
      </w:pPr>
      <w:r>
        <w:drawing>
          <wp:inline>
            <wp:extent cx="3733800" cy="1846948"/>
            <wp:effectExtent b="0" l="0" r="0" t="0"/>
            <wp:docPr descr="Перемещение по найденным выражениям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 fig. 22).</w:t>
      </w:r>
    </w:p>
    <w:p>
      <w:pPr>
        <w:pStyle w:val="CaptionedFigure"/>
      </w:pPr>
      <w:r>
        <w:drawing>
          <wp:inline>
            <wp:extent cx="3733800" cy="1839201"/>
            <wp:effectExtent b="0" l="0" r="0" t="0"/>
            <wp:docPr descr="Выход из режима поиска" title="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fig. 23).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Замена слова" title="" id="83" name="Picture"/>
            <a:graphic>
              <a:graphicData uri="http://schemas.openxmlformats.org/drawingml/2006/picture">
                <pic:pic>
                  <pic:nvPicPr>
                    <pic:cNvPr descr="image/2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Замена слова</w:t>
      </w:r>
    </w:p>
    <w:p>
      <w:pPr>
        <w:pStyle w:val="BodyText"/>
      </w:pPr>
      <w:r>
        <w:t xml:space="preserve">Видим, что слова были заменены успешно (рис. fig. 24).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Слово заменено" title="" id="86" name="Picture"/>
            <a:graphic>
              <a:graphicData uri="http://schemas.openxmlformats.org/drawingml/2006/picture">
                <pic:pic>
                  <pic:nvPicPr>
                    <pic:cNvPr descr="image/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fig. 25).</w:t>
      </w:r>
    </w:p>
    <w:p>
      <w:pPr>
        <w:pStyle w:val="CaptionedFigure"/>
      </w:pPr>
      <w:r>
        <w:drawing>
          <wp:inline>
            <wp:extent cx="3733800" cy="2503106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Режим поиска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Аветисян Алина Эдуардовна</dc:creator>
  <dc:language>ru-RU</dc:language>
  <cp:keywords/>
  <dcterms:created xsi:type="dcterms:W3CDTF">2024-04-17T10:26:47Z</dcterms:created>
  <dcterms:modified xsi:type="dcterms:W3CDTF">2024-04-17T10:26:47Z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