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F3864"/>
          <w:sz w:val="30"/>
          <w:szCs w:val="30"/>
        </w:rPr>
        <w:t xml:space="preserve">SMART INDIA HACKATHON 2026</w:t>
      </w:r>
    </w:p>
    <w:p>
      <w:pPr>
        <w:spacing w:after="40"/>
        <w:jc w:val="center"/>
      </w:pPr>
      <w:r>
        <w:rPr>
          <w:b/>
          <w:bCs/>
          <w:color w:val="0E7C7B"/>
          <w:sz w:val="24"/>
          <w:szCs w:val="24"/>
        </w:rPr>
        <w:t xml:space="preserve">Problem Statement 26160</w:t>
      </w:r>
    </w:p>
    <w:p>
      <w:pPr>
        <w:spacing w:after="200"/>
        <w:jc w:val="center"/>
      </w:pPr>
      <w:r>
        <w:rPr>
          <w:b/>
          <w:bCs/>
          <w:sz w:val="26"/>
          <w:szCs w:val="26"/>
        </w:rPr>
        <w:t xml:space="preserve">AI-Powered IPsec VPN Protocol Analyzer and Security Assessment Framework</w:t>
      </w:r>
    </w:p>
    <w:p>
      <w:pPr>
        <w:spacing w:after="40"/>
        <w:jc w:val="center"/>
      </w:pPr>
      <w:r>
        <w:rPr>
          <w:color w:val="595959"/>
          <w:sz w:val="20"/>
          <w:szCs w:val="20"/>
        </w:rPr>
        <w:t xml:space="preserve">Organisation: National Technical Research Organisation (NTRO)</w:t>
      </w:r>
    </w:p>
    <w:p>
      <w:pPr>
        <w:spacing w:after="300"/>
        <w:jc w:val="center"/>
      </w:pPr>
      <w:r>
        <w:rPr>
          <w:color w:val="595959"/>
          <w:sz w:val="20"/>
          <w:szCs w:val="20"/>
        </w:rPr>
        <w:t xml:space="preserve">Theme: Blockchain &amp; Cybersecurity   |   Category: Software</w:t>
      </w:r>
    </w:p>
    <w:p>
      <w:pPr>
        <w:spacing w:after="40"/>
        <w:jc w:val="center"/>
      </w:pPr>
      <w:r>
        <w:rPr>
          <w:b/>
          <w:bCs/>
          <w:color w:val="1F3864"/>
          <w:sz w:val="22"/>
          <w:szCs w:val="22"/>
        </w:rPr>
        <w:t xml:space="preserve">Detailed Project Plan, Solution Blueprint &amp; Phase-Wise Execution Roadmap (v2)</w:t>
      </w:r>
    </w:p>
    <w:p>
      <w:pPr>
        <w:spacing w:after="140" w:line="276"/>
      </w:pPr>
      <w:r>
        <w:rPr>
          <w:i/>
          <w:iCs/>
          <w:color w:val="595959"/>
        </w:rPr>
        <w:t xml:space="preserve">This revision expands the execution roadmap into a day-level, owner-mapped plan across eight build phases with explicit exit criteria and risk mitigations, and adds a new tier of strategic differentiator features (blockchain-anchored audit trail, analyst copilot, adversarial robustness testing, continuous learning loop, and SOC/SIEM export) on top of the original architecture and AI methodology. It is written to double as the team's working build reference and as source material for the SIH idea and grand-finale presentations.</w:t>
      </w:r>
    </w:p>
    <w:p>
      <w:r>
        <w:br w:type="page"/>
      </w:r>
    </w:p>
    <w:p>
      <w:pPr>
        <w:pStyle w:val="Heading1"/>
        <w:spacing w:after="160" w:before="340"/>
      </w:pPr>
      <w:r>
        <w:t xml:space="preserve">Table of Contents</w:t>
      </w:r>
    </w:p>
    <w:p>
      <w:pPr>
        <w:pStyle w:val="ListParagraph"/>
        <w:numPr>
          <w:ilvl w:val="0"/>
          <w:numId w:val="2"/>
        </w:numPr>
        <w:spacing w:after="90" w:line="268"/>
      </w:pPr>
      <w:r>
        <w:t xml:space="preserve">1. Problem Statement Snapshot</w:t>
      </w:r>
    </w:p>
    <w:p>
      <w:pPr>
        <w:pStyle w:val="ListParagraph"/>
        <w:numPr>
          <w:ilvl w:val="0"/>
          <w:numId w:val="2"/>
        </w:numPr>
        <w:spacing w:after="90" w:line="268"/>
      </w:pPr>
      <w:r>
        <w:t xml:space="preserve">2. Problem Understanding &amp; Research Grounding</w:t>
      </w:r>
    </w:p>
    <w:p>
      <w:pPr>
        <w:pStyle w:val="ListParagraph"/>
        <w:numPr>
          <w:ilvl w:val="0"/>
          <w:numId w:val="2"/>
        </w:numPr>
        <w:spacing w:after="90" w:line="268"/>
      </w:pPr>
      <w:r>
        <w:t xml:space="preserve">3. Unique / “Wow” Features (Differentiators)</w:t>
      </w:r>
    </w:p>
    <w:p>
      <w:pPr>
        <w:pStyle w:val="ListParagraph"/>
        <w:numPr>
          <w:ilvl w:val="0"/>
          <w:numId w:val="2"/>
        </w:numPr>
        <w:spacing w:after="90" w:line="268"/>
      </w:pPr>
      <w:r>
        <w:t xml:space="preserve">4. System Architecture</w:t>
      </w:r>
    </w:p>
    <w:p>
      <w:pPr>
        <w:pStyle w:val="ListParagraph"/>
        <w:numPr>
          <w:ilvl w:val="0"/>
          <w:numId w:val="2"/>
        </w:numPr>
        <w:spacing w:after="90" w:line="268"/>
      </w:pPr>
      <w:r>
        <w:t xml:space="preserve">5. AI/ML Methodology</w:t>
      </w:r>
    </w:p>
    <w:p>
      <w:pPr>
        <w:pStyle w:val="ListParagraph"/>
        <w:numPr>
          <w:ilvl w:val="0"/>
          <w:numId w:val="2"/>
        </w:numPr>
        <w:spacing w:after="90" w:line="268"/>
      </w:pPr>
      <w:r>
        <w:t xml:space="preserve">6. Proposed Tech Stack</w:t>
      </w:r>
    </w:p>
    <w:p>
      <w:pPr>
        <w:pStyle w:val="ListParagraph"/>
        <w:numPr>
          <w:ilvl w:val="0"/>
          <w:numId w:val="2"/>
        </w:numPr>
        <w:spacing w:after="90" w:line="268"/>
      </w:pPr>
      <w:r>
        <w:t xml:space="preserve">7. Team Roles &amp; Responsibilities</w:t>
      </w:r>
    </w:p>
    <w:p>
      <w:pPr>
        <w:pStyle w:val="ListParagraph"/>
        <w:numPr>
          <w:ilvl w:val="0"/>
          <w:numId w:val="2"/>
        </w:numPr>
        <w:spacing w:after="90" w:line="268"/>
      </w:pPr>
      <w:r>
        <w:t xml:space="preserve">8. Detailed Phase-Wise Execution Roadmap</w:t>
      </w:r>
    </w:p>
    <w:p>
      <w:pPr>
        <w:pStyle w:val="ListParagraph"/>
        <w:numPr>
          <w:ilvl w:val="0"/>
          <w:numId w:val="2"/>
        </w:numPr>
        <w:spacing w:after="90" w:line="268"/>
      </w:pPr>
      <w:r>
        <w:t xml:space="preserve">9. Milestone &amp; Gate Reviews (SIH Calendar Alignment)</w:t>
      </w:r>
    </w:p>
    <w:p>
      <w:pPr>
        <w:pStyle w:val="ListParagraph"/>
        <w:numPr>
          <w:ilvl w:val="0"/>
          <w:numId w:val="2"/>
        </w:numPr>
        <w:spacing w:after="90" w:line="268"/>
      </w:pPr>
      <w:r>
        <w:t xml:space="preserve">10. Deliverables Mapping</w:t>
      </w:r>
    </w:p>
    <w:p>
      <w:pPr>
        <w:pStyle w:val="ListParagraph"/>
        <w:numPr>
          <w:ilvl w:val="0"/>
          <w:numId w:val="2"/>
        </w:numPr>
        <w:spacing w:after="90" w:line="268"/>
      </w:pPr>
      <w:r>
        <w:t xml:space="preserve">11. Risk Register (Program-Level)</w:t>
      </w:r>
    </w:p>
    <w:p>
      <w:pPr>
        <w:pStyle w:val="ListParagraph"/>
        <w:numPr>
          <w:ilvl w:val="0"/>
          <w:numId w:val="2"/>
        </w:numPr>
        <w:spacing w:after="90" w:line="268"/>
      </w:pPr>
      <w:r>
        <w:t xml:space="preserve">12. Key References</w:t>
      </w:r>
    </w:p>
    <w:p>
      <w:r>
        <w:br w:type="page"/>
      </w:r>
    </w:p>
    <w:p>
      <w:pPr>
        <w:pStyle w:val="Heading1"/>
        <w:spacing w:after="160" w:before="340"/>
      </w:pPr>
      <w:r>
        <w:t xml:space="preserve">1. Problem Statement Snapshot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F3864" w:color="auto" w:val="clear"/>
            <w:tcMar>
              <w:top w:type="dxa" w:w="80"/>
              <w:left w:type="dxa" w:w="110"/>
              <w:bottom w:type="dxa" w:w="80"/>
              <w:right w:type="dxa" w:w="110"/>
            </w:tcMar>
            <w:vAlign w:val="center"/>
          </w:tcPr>
          <w:p>
            <w:pPr>
              <w:jc w:val="left"/>
            </w:pPr>
            <w:r>
              <w:rPr>
                <w:b/>
                <w:bCs/>
                <w:color w:val="FFFFFF"/>
                <w:sz w:val="20"/>
                <w:szCs w:val="20"/>
              </w:rPr>
              <w:t xml:space="preserve">Field</w:t>
            </w:r>
          </w:p>
        </w:tc>
        <w:tc>
          <w:tcPr>
            <w:tcW w:type="dxa" w:w="6800"/>
            <w:shd w:fill="1F3864" w:color="auto" w:val="clear"/>
            <w:tcMar>
              <w:top w:type="dxa" w:w="80"/>
              <w:left w:type="dxa" w:w="110"/>
              <w:bottom w:type="dxa" w:w="80"/>
              <w:right w:type="dxa" w:w="110"/>
            </w:tcMar>
            <w:vAlign w:val="center"/>
          </w:tcPr>
          <w:p>
            <w:pPr>
              <w:jc w:val="left"/>
            </w:pPr>
            <w:r>
              <w:rPr>
                <w:b/>
                <w:bCs/>
                <w:color w:val="FFFFFF"/>
                <w:sz w:val="20"/>
                <w:szCs w:val="20"/>
              </w:rPr>
              <w:t xml:space="preserve">Detail</w:t>
            </w:r>
          </w:p>
        </w:tc>
      </w:tr>
      <w:tr>
        <w:tc>
          <w:tcPr>
            <w:tcW w:type="dxa" w:w="3200"/>
            <w:tcMar>
              <w:top w:type="dxa" w:w="80"/>
              <w:left w:type="dxa" w:w="110"/>
              <w:bottom w:type="dxa" w:w="80"/>
              <w:right w:type="dxa" w:w="110"/>
            </w:tcMar>
            <w:vAlign w:val="center"/>
          </w:tcPr>
          <w:p>
            <w:pPr>
              <w:jc w:val="left"/>
            </w:pPr>
            <w:r>
              <w:rPr>
                <w:b w:val="false"/>
                <w:bCs w:val="false"/>
                <w:color w:val="000000"/>
                <w:sz w:val="20"/>
                <w:szCs w:val="20"/>
              </w:rPr>
              <w:t xml:space="preserve">Statement ID</w:t>
            </w:r>
          </w:p>
        </w:tc>
        <w:tc>
          <w:tcPr>
            <w:tcW w:type="dxa" w:w="6800"/>
            <w:tcMar>
              <w:top w:type="dxa" w:w="80"/>
              <w:left w:type="dxa" w:w="110"/>
              <w:bottom w:type="dxa" w:w="80"/>
              <w:right w:type="dxa" w:w="110"/>
            </w:tcMar>
            <w:vAlign w:val="center"/>
          </w:tcPr>
          <w:p>
            <w:pPr>
              <w:jc w:val="left"/>
            </w:pPr>
            <w:r>
              <w:rPr>
                <w:b w:val="false"/>
                <w:bCs w:val="false"/>
                <w:color w:val="000000"/>
                <w:sz w:val="20"/>
                <w:szCs w:val="20"/>
              </w:rPr>
              <w:t xml:space="preserve">26160</w:t>
            </w:r>
          </w:p>
        </w:tc>
      </w:tr>
      <w:tr>
        <w:tc>
          <w:tcPr>
            <w:tcW w:type="dxa" w:w="3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Organisation / Department</w:t>
            </w:r>
          </w:p>
        </w:tc>
        <w:tc>
          <w:tcPr>
            <w:tcW w:type="dxa" w:w="68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National Technical Research Organisation (NTRO)</w:t>
            </w:r>
          </w:p>
        </w:tc>
      </w:tr>
      <w:tr>
        <w:tc>
          <w:tcPr>
            <w:tcW w:type="dxa" w:w="3200"/>
            <w:tcMar>
              <w:top w:type="dxa" w:w="80"/>
              <w:left w:type="dxa" w:w="110"/>
              <w:bottom w:type="dxa" w:w="80"/>
              <w:right w:type="dxa" w:w="110"/>
            </w:tcMar>
            <w:vAlign w:val="center"/>
          </w:tcPr>
          <w:p>
            <w:pPr>
              <w:jc w:val="left"/>
            </w:pPr>
            <w:r>
              <w:rPr>
                <w:b w:val="false"/>
                <w:bCs w:val="false"/>
                <w:color w:val="000000"/>
                <w:sz w:val="20"/>
                <w:szCs w:val="20"/>
              </w:rPr>
              <w:t xml:space="preserve">Theme</w:t>
            </w:r>
          </w:p>
        </w:tc>
        <w:tc>
          <w:tcPr>
            <w:tcW w:type="dxa" w:w="6800"/>
            <w:tcMar>
              <w:top w:type="dxa" w:w="80"/>
              <w:left w:type="dxa" w:w="110"/>
              <w:bottom w:type="dxa" w:w="80"/>
              <w:right w:type="dxa" w:w="110"/>
            </w:tcMar>
            <w:vAlign w:val="center"/>
          </w:tcPr>
          <w:p>
            <w:pPr>
              <w:jc w:val="left"/>
            </w:pPr>
            <w:r>
              <w:rPr>
                <w:b w:val="false"/>
                <w:bCs w:val="false"/>
                <w:color w:val="000000"/>
                <w:sz w:val="20"/>
                <w:szCs w:val="20"/>
              </w:rPr>
              <w:t xml:space="preserve">Blockchain &amp; Cybersecurity</w:t>
            </w:r>
          </w:p>
        </w:tc>
      </w:tr>
      <w:tr>
        <w:tc>
          <w:tcPr>
            <w:tcW w:type="dxa" w:w="3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Category</w:t>
            </w:r>
          </w:p>
        </w:tc>
        <w:tc>
          <w:tcPr>
            <w:tcW w:type="dxa" w:w="68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Software</w:t>
            </w:r>
          </w:p>
        </w:tc>
      </w:tr>
      <w:tr>
        <w:tc>
          <w:tcPr>
            <w:tcW w:type="dxa" w:w="3200"/>
            <w:tcMar>
              <w:top w:type="dxa" w:w="80"/>
              <w:left w:type="dxa" w:w="110"/>
              <w:bottom w:type="dxa" w:w="80"/>
              <w:right w:type="dxa" w:w="110"/>
            </w:tcMar>
            <w:vAlign w:val="center"/>
          </w:tcPr>
          <w:p>
            <w:pPr>
              <w:jc w:val="left"/>
            </w:pPr>
            <w:r>
              <w:rPr>
                <w:b w:val="false"/>
                <w:bCs w:val="false"/>
                <w:color w:val="000000"/>
                <w:sz w:val="20"/>
                <w:szCs w:val="20"/>
              </w:rPr>
              <w:t xml:space="preserve">Core ask</w:t>
            </w:r>
          </w:p>
        </w:tc>
        <w:tc>
          <w:tcPr>
            <w:tcW w:type="dxa" w:w="6800"/>
            <w:tcMar>
              <w:top w:type="dxa" w:w="80"/>
              <w:left w:type="dxa" w:w="110"/>
              <w:bottom w:type="dxa" w:w="80"/>
              <w:right w:type="dxa" w:w="110"/>
            </w:tcMar>
            <w:vAlign w:val="center"/>
          </w:tcPr>
          <w:p>
            <w:pPr>
              <w:jc w:val="left"/>
            </w:pPr>
            <w:r>
              <w:rPr>
                <w:b w:val="false"/>
                <w:bCs w:val="false"/>
                <w:color w:val="000000"/>
                <w:sz w:val="20"/>
                <w:szCs w:val="20"/>
              </w:rPr>
              <w:t xml:space="preserve">AI-driven platform that ingests IPsec VPN traffic (capture or live), auto-identifies protocol/mode/cipher characteristics, infers traffic type inside ESP without decryption, and produces an automated, scored security assessment</w:t>
            </w:r>
          </w:p>
        </w:tc>
      </w:tr>
    </w:tbl>
    <w:p>
      <w:pPr>
        <w:pStyle w:val="Heading2"/>
        <w:spacing w:after="120" w:before="240"/>
      </w:pPr>
      <w:r>
        <w:t xml:space="preserve">1.1 What the jury is really testing</w:t>
      </w:r>
    </w:p>
    <w:p>
      <w:pPr>
        <w:pStyle w:val="ListParagraph"/>
        <w:numPr>
          <w:ilvl w:val="0"/>
          <w:numId w:val="3"/>
        </w:numPr>
        <w:spacing w:after="90" w:line="268"/>
      </w:pPr>
      <w:r>
        <w:t xml:space="preserve">Can you build a real IPsec lab (not fake pcaps) with genuine configuration diversity — modes, ciphers, DH groups, PFS, IPv4/IPv6, multiple traffic types.</w:t>
      </w:r>
    </w:p>
    <w:p>
      <w:pPr>
        <w:pStyle w:val="ListParagraph"/>
        <w:numPr>
          <w:ilvl w:val="0"/>
          <w:numId w:val="3"/>
        </w:numPr>
        <w:spacing w:after="90" w:line="268"/>
      </w:pPr>
      <w:r>
        <w:t xml:space="preserve">Can an AI engine infer things that are NOT visible in cleartext once ESP encryption starts — this is the hard, genuinely research-grade part of the PS.</w:t>
      </w:r>
    </w:p>
    <w:p>
      <w:pPr>
        <w:pStyle w:val="ListParagraph"/>
        <w:numPr>
          <w:ilvl w:val="0"/>
          <w:numId w:val="3"/>
        </w:numPr>
        <w:spacing w:after="90" w:line="268"/>
      </w:pPr>
      <w:r>
        <w:t xml:space="preserve">Is the “security assessment” a real, defensible scoring methodology (mapped to a standard) or an arbitrary made-up number.</w:t>
      </w:r>
    </w:p>
    <w:p>
      <w:pPr>
        <w:pStyle w:val="ListParagraph"/>
        <w:numPr>
          <w:ilvl w:val="0"/>
          <w:numId w:val="3"/>
        </w:numPr>
        <w:spacing w:after="90" w:line="268"/>
      </w:pPr>
      <w:r>
        <w:t xml:space="preserve">Is the output usable by a non-expert analyst — this is explicitly called out (“without requiring manual packet inspection”).</w:t>
      </w:r>
    </w:p>
    <w:p>
      <w:pPr>
        <w:pStyle w:val="ListParagraph"/>
        <w:numPr>
          <w:ilvl w:val="0"/>
          <w:numId w:val="3"/>
        </w:numPr>
        <w:spacing w:after="90" w:line="268"/>
      </w:pPr>
      <w:r>
        <w:t xml:space="preserve">Can the team demonstrate the system live, end-to-end, under time pressure — grand-finale judging rewards a rehearsed, resilient demo as much as raw capability.</w:t>
      </w:r>
    </w:p>
    <w:p>
      <w:pPr>
        <w:pStyle w:val="Heading1"/>
        <w:spacing w:after="160" w:before="340"/>
      </w:pPr>
      <w:r>
        <w:t xml:space="preserve">2. Problem Understanding &amp; Research Grounding</w:t>
      </w:r>
    </w:p>
    <w:p>
      <w:pPr>
        <w:spacing w:after="140" w:line="276"/>
      </w:pPr>
      <w:r>
        <w:t xml:space="preserve">IPsec's IKE (v1/v2) negotiation phase is transmitted in cleartext (ISAKMP/IKE headers, SA proposals, DH group numbers, cipher suite offers) before the tunnel is established — this alone is enough to deterministically fingerprint mode, algorithms, DH group, and PFS status with a parser (no ML required). The genuinely hard sub-problem is predicting the type of traffic riding inside already-encrypted ESP packets. Published research confirms this is solvable statistically, not by breaking encryption:</w:t>
      </w:r>
    </w:p>
    <w:p>
      <w:pPr>
        <w:pStyle w:val="ListParagraph"/>
        <w:numPr>
          <w:ilvl w:val="0"/>
          <w:numId w:val="3"/>
        </w:numPr>
        <w:spacing w:after="90" w:line="268"/>
      </w:pPr>
      <w:r>
        <w:t xml:space="preserve">Traffic-type inference from encrypted tunnels (including IPsec specifically) is done using packet-size sequences, inter-arrival timing, and burst/flow statistics — not payload content — and prior work reports that IPsec's overhead does not meaningfully degrade this signal compared to plaintext baselines.</w:t>
      </w:r>
    </w:p>
    <w:p>
      <w:pPr>
        <w:pStyle w:val="ListParagraph"/>
        <w:numPr>
          <w:ilvl w:val="0"/>
          <w:numId w:val="3"/>
        </w:numPr>
        <w:spacing w:after="90" w:line="268"/>
      </w:pPr>
      <w:r>
        <w:t xml:space="preserve">Broader encrypted-traffic-classification literature (VPN/Tor fingerprinting, mobile app fingerprinting, FlowPic/FS-Net style flow-representation models) confirms 90%+ accuracy is achievable with lightweight, real-time-capable models on flow metadata alone.</w:t>
      </w:r>
    </w:p>
    <w:p>
      <w:pPr>
        <w:pStyle w:val="ListParagraph"/>
        <w:numPr>
          <w:ilvl w:val="0"/>
          <w:numId w:val="3"/>
        </w:numPr>
        <w:spacing w:after="90" w:line="268"/>
      </w:pPr>
      <w:r>
        <w:t xml:space="preserve">NIST SP 800-77 Rev.1 (“Guide to IPsec VPNs”) is the standard reference for cryptographic algorithm strength, key-management, and phased IPsec planning guidance — the natural backbone for the scoring rubric rather than inventing one from scratch.</w:t>
      </w:r>
    </w:p>
    <w:p>
      <w:pPr>
        <w:spacing w:after="140" w:line="276"/>
      </w:pPr>
      <w:r>
        <w:rPr>
          <w:i/>
          <w:iCs/>
        </w:rPr>
        <w:t xml:space="preserve">Pitch anchor: “We are not decrypting anything — we are combining a deterministic IKE/SA parser with a statistical ESP flow-fingerprinting model, scored against a recognised standard (NIST SP 800-77 / CNSA), which is exactly how real intelligence and SOC analysts approach IPsec deployments they don't control the endpoints of.”</w:t>
      </w:r>
    </w:p>
    <w:p>
      <w:pPr>
        <w:pStyle w:val="Heading1"/>
        <w:spacing w:after="160" w:before="340"/>
      </w:pPr>
      <w:r>
        <w:t xml:space="preserve">3. Unique / “Wow” Features (Differentiators)</w:t>
      </w:r>
    </w:p>
    <w:p>
      <w:pPr>
        <w:spacing w:after="140" w:line="276"/>
      </w:pPr>
      <w:r>
        <w:t xml:space="preserve">The base ask (a–e in the PS) is table stakes — most teams will build a Wireshark-plus-dashboard. Features below are ordered by expected jury impact; Tier 3 is new in this revision.</w:t>
      </w:r>
    </w:p>
    <w:p>
      <w:pPr>
        <w:pStyle w:val="Heading2"/>
        <w:spacing w:after="120" w:before="240"/>
      </w:pPr>
      <w:r>
        <w:t xml:space="preserve">3.1 Tier 1 — Headline differentiators</w:t>
      </w:r>
    </w:p>
    <w:p>
      <w:pPr>
        <w:pStyle w:val="ListParagraph"/>
        <w:numPr>
          <w:ilvl w:val="0"/>
          <w:numId w:val="3"/>
        </w:numPr>
        <w:spacing w:after="90" w:line="268"/>
      </w:pPr>
      <w:r>
        <w:rPr>
          <w:b/>
          <w:bCs/>
          <w:color w:val="1F3864"/>
        </w:rPr>
        <w:t xml:space="preserve">Zero-Decryption ESP Traffic Fingerprinting Engine</w:t>
      </w:r>
      <w:r>
        <w:t xml:space="preserve"> — classify VoIP / video / web / email / ICMP / messaging traffic riding inside encrypted ESP purely from packet-size sequences, inter-arrival timing and burst statistics, with a live demo where the jury picks a traffic type and watches it get correctly identified without ever touching the payload.</w:t>
      </w:r>
    </w:p>
    <w:p>
      <w:pPr>
        <w:pStyle w:val="ListParagraph"/>
        <w:numPr>
          <w:ilvl w:val="0"/>
          <w:numId w:val="3"/>
        </w:numPr>
        <w:spacing w:after="90" w:line="268"/>
      </w:pPr>
      <w:r>
        <w:rPr>
          <w:b/>
          <w:bCs/>
          <w:color w:val="1F3864"/>
        </w:rPr>
        <w:t xml:space="preserve">Explainable AI Confidence Scoring (XAI layer)</w:t>
      </w:r>
      <w:r>
        <w:t xml:space="preserve"> — every classification and risk-score component ships with a SHAP/feature-importance explanation instead of a bare probability — directly satisfies the PS's “AI Confidence Score” deliverable in an auditable way.</w:t>
      </w:r>
    </w:p>
    <w:p>
      <w:pPr>
        <w:pStyle w:val="ListParagraph"/>
        <w:numPr>
          <w:ilvl w:val="0"/>
          <w:numId w:val="3"/>
        </w:numPr>
        <w:spacing w:after="90" w:line="268"/>
      </w:pPr>
      <w:r>
        <w:rPr>
          <w:b/>
          <w:bCs/>
          <w:color w:val="1F3864"/>
        </w:rPr>
        <w:t xml:space="preserve">Pre-Deployment Policy Simulator (“digital twin” mode)</w:t>
      </w:r>
      <w:r>
        <w:t xml:space="preserve"> — an analyst can paste/upload a proposed IPsec policy and get the same risk score and threat matrix instantly, turning the tool from forensic/passive into a preventive design-review tool.</w:t>
      </w:r>
    </w:p>
    <w:p>
      <w:pPr>
        <w:pStyle w:val="ListParagraph"/>
        <w:numPr>
          <w:ilvl w:val="0"/>
          <w:numId w:val="3"/>
        </w:numPr>
        <w:spacing w:after="90" w:line="268"/>
      </w:pPr>
      <w:r>
        <w:rPr>
          <w:b/>
          <w:bCs/>
          <w:color w:val="1F3864"/>
        </w:rPr>
        <w:t xml:space="preserve">Active Attack-Replay Sandbox</w:t>
      </w:r>
      <w:r>
        <w:t xml:space="preserve"> — the testbed safely replays known IPsec/IKE attack classes (Aggressive Mode PSK exposure, DH downgrade, replay-window abuse, weak-cipher forcing) and shows the security score visibly drop in real time — a live, visual “before/after” proof.</w:t>
      </w:r>
    </w:p>
    <w:p>
      <w:pPr>
        <w:pStyle w:val="ListParagraph"/>
        <w:numPr>
          <w:ilvl w:val="0"/>
          <w:numId w:val="3"/>
        </w:numPr>
        <w:spacing w:after="90" w:line="268"/>
      </w:pPr>
      <w:r>
        <w:rPr>
          <w:b/>
          <w:bCs/>
          <w:color w:val="1F3864"/>
        </w:rPr>
        <w:t xml:space="preserve">Post-Quantum Readiness Index</w:t>
      </w:r>
      <w:r>
        <w:t xml:space="preserve"> — flags DH groups/key sizes vulnerable to “harvest-now-decrypt-later” harvesting and reports a PQC-readiness sub-score with a recommended hybrid migration path — forward-looking crypto-agility almost no student team will think to include.</w:t>
      </w:r>
    </w:p>
    <w:p>
      <w:pPr>
        <w:pStyle w:val="Heading2"/>
        <w:spacing w:after="120" w:before="240"/>
      </w:pPr>
      <w:r>
        <w:t xml:space="preserve">3.2 Tier 2 — Strong supporting features</w:t>
      </w:r>
    </w:p>
    <w:p>
      <w:pPr>
        <w:pStyle w:val="ListParagraph"/>
        <w:numPr>
          <w:ilvl w:val="0"/>
          <w:numId w:val="3"/>
        </w:numPr>
        <w:spacing w:after="90" w:line="268"/>
      </w:pPr>
      <w:r>
        <w:rPr>
          <w:b/>
          <w:bCs/>
          <w:color w:val="1F3864"/>
        </w:rPr>
        <w:t xml:space="preserve">India-context Compliance Mapping</w:t>
      </w:r>
      <w:r>
        <w:t xml:space="preserve"> — findings cross-referenced against CERT-In and NIC/GIGW-style government advisories in addition to NIST SP 800-77, so the report reads as actionable by an actual Indian government network auditor.</w:t>
      </w:r>
    </w:p>
    <w:p>
      <w:pPr>
        <w:pStyle w:val="ListParagraph"/>
        <w:numPr>
          <w:ilvl w:val="0"/>
          <w:numId w:val="3"/>
        </w:numPr>
        <w:spacing w:after="90" w:line="268"/>
      </w:pPr>
      <w:r>
        <w:rPr>
          <w:b/>
          <w:bCs/>
          <w:color w:val="1F3864"/>
        </w:rPr>
        <w:t xml:space="preserve">Auto-Generated Remediation Config Diffs</w:t>
      </w:r>
      <w:r>
        <w:t xml:space="preserve"> — every finding ships the actual corrective strongSwan/Libreswan config snippet, closing the loop from “detected” to “fixable in one copy-paste.”</w:t>
      </w:r>
    </w:p>
    <w:p>
      <w:pPr>
        <w:pStyle w:val="ListParagraph"/>
        <w:numPr>
          <w:ilvl w:val="0"/>
          <w:numId w:val="3"/>
        </w:numPr>
        <w:spacing w:after="90" w:line="268"/>
      </w:pPr>
      <w:r>
        <w:rPr>
          <w:b/>
          <w:bCs/>
          <w:color w:val="1F3864"/>
        </w:rPr>
        <w:t xml:space="preserve">Natural-Language Executive Report Generation</w:t>
      </w:r>
      <w:r>
        <w:t xml:space="preserve"> — one click produces a jargon-free executive summary and a full technical report with packet-level evidence, at genuinely different reading levels.</w:t>
      </w:r>
    </w:p>
    <w:p>
      <w:pPr>
        <w:pStyle w:val="ListParagraph"/>
        <w:numPr>
          <w:ilvl w:val="0"/>
          <w:numId w:val="3"/>
        </w:numPr>
        <w:spacing w:after="90" w:line="268"/>
      </w:pPr>
      <w:r>
        <w:rPr>
          <w:b/>
          <w:bCs/>
          <w:color w:val="1F3864"/>
        </w:rPr>
        <w:t xml:space="preserve">MITRE ATT&amp;CK-mapped Threat Matrix</w:t>
      </w:r>
      <w:r>
        <w:t xml:space="preserve"> — the required “Threat Matrix” is mapped onto real ATT&amp;CK technique IDs (e.g. T1557 AitM, T1040 sniffing, T1600 weak crypto) instead of an invented severity grid.</w:t>
      </w:r>
    </w:p>
    <w:p>
      <w:pPr>
        <w:pStyle w:val="ListParagraph"/>
        <w:numPr>
          <w:ilvl w:val="0"/>
          <w:numId w:val="3"/>
        </w:numPr>
        <w:spacing w:after="90" w:line="268"/>
      </w:pPr>
      <w:r>
        <w:rPr>
          <w:b/>
          <w:bCs/>
          <w:color w:val="1F3864"/>
        </w:rPr>
        <w:t xml:space="preserve">Live Mode with Streaming Anomaly Detection</w:t>
      </w:r>
      <w:r>
        <w:t xml:space="preserve"> — attaching to a live interface flags SA-rekey anomalies, unexpected DH-group renegotiation, or replay-counter irregularities in real time, not just after the fact.</w:t>
      </w:r>
    </w:p>
    <w:p>
      <w:pPr>
        <w:pStyle w:val="ListParagraph"/>
        <w:numPr>
          <w:ilvl w:val="0"/>
          <w:numId w:val="3"/>
        </w:numPr>
        <w:spacing w:after="90" w:line="268"/>
      </w:pPr>
      <w:r>
        <w:rPr>
          <w:b/>
          <w:bCs/>
          <w:color w:val="1F3864"/>
        </w:rPr>
        <w:t xml:space="preserve">Multi-Implementation Testbed Matrix</w:t>
      </w:r>
      <w:r>
        <w:t xml:space="preserve"> — spans strongSwan, Libreswan and native OS IPsec stacks so the classifier is validated for cross-vendor generalisation rather than overfitting to one implementation's quirks.</w:t>
      </w:r>
    </w:p>
    <w:p>
      <w:pPr>
        <w:pStyle w:val="ListParagraph"/>
        <w:numPr>
          <w:ilvl w:val="0"/>
          <w:numId w:val="3"/>
        </w:numPr>
        <w:spacing w:after="90" w:line="268"/>
      </w:pPr>
      <w:r>
        <w:rPr>
          <w:b/>
          <w:bCs/>
          <w:color w:val="1F3864"/>
        </w:rPr>
        <w:t xml:space="preserve">Open Labeled IPsec Dataset Contribution</w:t>
      </w:r>
      <w:r>
        <w:t xml:space="preserve"> — the generated multi-configuration, multi-traffic-type labeled capture dataset is packaged and released as a reusable research artifact.</w:t>
      </w:r>
    </w:p>
    <w:p>
      <w:pPr>
        <w:pStyle w:val="Heading2"/>
        <w:spacing w:after="120" w:before="240"/>
      </w:pPr>
      <w:r>
        <w:t xml:space="preserve">3.3 Tier 3 — New strategic additions (this revision)</w:t>
      </w:r>
    </w:p>
    <w:p>
      <w:pPr>
        <w:spacing w:after="140" w:line="276"/>
      </w:pPr>
      <w:r>
        <w:t xml:space="preserve">These five additions were assessed against the PS and jury-evaluation lens and are genuinely worth building — they close gaps the base design leaves open (the theme's “Blockchain” half is currently unused, the classifier's own robustness is untested, and there is no integration path into a real SOC).</w:t>
      </w:r>
    </w:p>
    <w:p>
      <w:pPr>
        <w:pStyle w:val="ListParagraph"/>
        <w:numPr>
          <w:ilvl w:val="0"/>
          <w:numId w:val="3"/>
        </w:numPr>
        <w:spacing w:after="90" w:line="268"/>
      </w:pPr>
      <w:r>
        <w:rPr>
          <w:b/>
          <w:bCs/>
          <w:color w:val="1F3864"/>
        </w:rPr>
        <w:t xml:space="preserve">Blockchain-Anchored Tamper-Evident Audit Trail</w:t>
      </w:r>
      <w:r>
        <w:t xml:space="preserve"> — every generated report and its underlying evidence hash is committed to an append-only hash-chain (a lightweight Merkle-tree ledger, optionally anchored to a permissioned Hyperledger Fabric channel), so a report cannot be silently altered after issue. This is the single addition that actually uses the “Blockchain” half of the theme name, which the base design otherwise leaves untouched, and gives NTRO-grade chain-of-custody for evidence behind a security decision.</w:t>
      </w:r>
    </w:p>
    <w:p>
      <w:pPr>
        <w:pStyle w:val="ListParagraph"/>
        <w:numPr>
          <w:ilvl w:val="0"/>
          <w:numId w:val="3"/>
        </w:numPr>
        <w:spacing w:after="90" w:line="268"/>
      </w:pPr>
      <w:r>
        <w:rPr>
          <w:b/>
          <w:bCs/>
          <w:color w:val="1F3864"/>
        </w:rPr>
        <w:t xml:space="preserve">LLM-Powered Analyst Copilot</w:t>
      </w:r>
      <w:r>
        <w:t xml:space="preserve"> — a constrained, report-grounded chat assistant inside the dashboard answers questions like “why did this configuration score 42” or “what change would raise the score to 80,” citing the specific rubric rows and packet evidence it draws from — pushes the PS's “usable by a non-expert analyst” requirement further than a static report can.</w:t>
      </w:r>
    </w:p>
    <w:p>
      <w:pPr>
        <w:pStyle w:val="ListParagraph"/>
        <w:numPr>
          <w:ilvl w:val="0"/>
          <w:numId w:val="3"/>
        </w:numPr>
        <w:spacing w:after="90" w:line="268"/>
      </w:pPr>
      <w:r>
        <w:rPr>
          <w:b/>
          <w:bCs/>
          <w:color w:val="1F3864"/>
        </w:rPr>
        <w:t xml:space="preserve">Adversarial Robustness / Evasion Testing Harness</w:t>
      </w:r>
      <w:r>
        <w:t xml:space="preserve"> — before trusting the ESP classifier, the team stress-tests it against traffic-shaping evasion (padding, fragmentation, artificial jitter injection) and reports a “classifier robustness score” alongside the accuracy number — shows the jury the team understands that an AI classifier can itself be attacked, not just the VPN it's analysing.</w:t>
      </w:r>
    </w:p>
    <w:p>
      <w:pPr>
        <w:pStyle w:val="ListParagraph"/>
        <w:numPr>
          <w:ilvl w:val="0"/>
          <w:numId w:val="3"/>
        </w:numPr>
        <w:spacing w:after="90" w:line="268"/>
      </w:pPr>
      <w:r>
        <w:rPr>
          <w:b/>
          <w:bCs/>
          <w:color w:val="1F3864"/>
        </w:rPr>
        <w:t xml:space="preserve">Continuous Learning / Human-in-the-Loop Feedback Loop</w:t>
      </w:r>
      <w:r>
        <w:t xml:space="preserve"> — low-confidence ESP classifications are queued for one-click analyst confirmation inside the dashboard; confirmed labels feed a periodic retraining job, so accuracy visibly improves the more the tool is used — turns a static model into a system that demonstrably gets smarter in front of the jury over the course of the event.</w:t>
      </w:r>
    </w:p>
    <w:p>
      <w:pPr>
        <w:pStyle w:val="ListParagraph"/>
        <w:numPr>
          <w:ilvl w:val="0"/>
          <w:numId w:val="3"/>
        </w:numPr>
        <w:spacing w:after="90" w:line="268"/>
      </w:pPr>
      <w:r>
        <w:rPr>
          <w:b/>
          <w:bCs/>
          <w:color w:val="1F3864"/>
        </w:rPr>
        <w:t xml:space="preserve">SIEM/SOC Export Connectors</w:t>
      </w:r>
      <w:r>
        <w:t xml:space="preserve"> — one-click export of findings as CEF/Syslog or a Splunk/ELK-compatible JSON feed, so the tool slots into an existing government SOC pipeline instead of living as an island dashboard — a concrete, practical integration point evaluators are likely to probe for.</w:t>
      </w:r>
    </w:p>
    <w:p>
      <w:pPr>
        <w:pStyle w:val="Heading1"/>
        <w:spacing w:after="160" w:before="340"/>
      </w:pPr>
      <w:r>
        <w:t xml:space="preserve">4. System Architecture</w:t>
      </w:r>
    </w:p>
    <w:p>
      <w:pPr>
        <w:spacing w:after="140" w:line="276"/>
      </w:pPr>
      <w:r>
        <w:t xml:space="preserve">Five-layer pipeline mapped directly onto the PS's five sub-tasks (a–e), with the Tier-3 additions attached as cross-cutting services rather than a new pipeline stage.</w:t>
      </w:r>
    </w:p>
    <w:p>
      <w:pPr>
        <w:pStyle w:val="Heading2"/>
        <w:spacing w:after="120" w:before="240"/>
      </w:pPr>
      <w:r>
        <w:t xml:space="preserve">4.1 Data flow (textual)</w:t>
      </w:r>
    </w:p>
    <w:p>
      <w:pPr>
        <w:pStyle w:val="ListParagraph"/>
        <w:numPr>
          <w:ilvl w:val="0"/>
          <w:numId w:val="3"/>
        </w:numPr>
        <w:spacing w:after="90" w:line="268"/>
      </w:pPr>
      <w:r>
        <w:t xml:space="preserve">Testbed nodes negotiate an IPsec SA under a chosen config → traffic generators push VoIP/web/video/email/ICMP flows through the tunnel.</w:t>
      </w:r>
    </w:p>
    <w:p>
      <w:pPr>
        <w:pStyle w:val="ListParagraph"/>
        <w:numPr>
          <w:ilvl w:val="0"/>
          <w:numId w:val="3"/>
        </w:numPr>
        <w:spacing w:after="90" w:line="268"/>
      </w:pPr>
      <w:r>
        <w:t xml:space="preserve">Capture agents log the full trace (IKE + ESP/AH) with ground-truth labels for training, and without labels for the “analyst” live demo path.</w:t>
      </w:r>
    </w:p>
    <w:p>
      <w:pPr>
        <w:pStyle w:val="ListParagraph"/>
        <w:numPr>
          <w:ilvl w:val="0"/>
          <w:numId w:val="3"/>
        </w:numPr>
        <w:spacing w:after="90" w:line="268"/>
      </w:pPr>
      <w:r>
        <w:t xml:space="preserve">The IKE parser deterministically extracts protocol/version/mode/cipher/DH-group/PFS from the cleartext negotiation.</w:t>
      </w:r>
    </w:p>
    <w:p>
      <w:pPr>
        <w:pStyle w:val="ListParagraph"/>
        <w:numPr>
          <w:ilvl w:val="0"/>
          <w:numId w:val="3"/>
        </w:numPr>
        <w:spacing w:after="90" w:line="268"/>
      </w:pPr>
      <w:r>
        <w:t xml:space="preserve">The flow classifier ingests ESP packet-size/timing sequences and predicts the traffic type, with an SHAP-derived confidence explanation attached.</w:t>
      </w:r>
    </w:p>
    <w:p>
      <w:pPr>
        <w:pStyle w:val="ListParagraph"/>
        <w:numPr>
          <w:ilvl w:val="0"/>
          <w:numId w:val="3"/>
        </w:numPr>
        <w:spacing w:after="90" w:line="268"/>
      </w:pPr>
      <w:r>
        <w:t xml:space="preserve">The assessment engine combines both outputs into a weighted risk score, a threat matrix, and a PQC-readiness index.</w:t>
      </w:r>
    </w:p>
    <w:p>
      <w:pPr>
        <w:pStyle w:val="ListParagraph"/>
        <w:numPr>
          <w:ilvl w:val="0"/>
          <w:numId w:val="3"/>
        </w:numPr>
        <w:spacing w:after="90" w:line="268"/>
      </w:pPr>
      <w:r>
        <w:t xml:space="preserve">The dashboard renders everything live and exposes one-click executive/technical report generation and remediation config diffs.</w:t>
      </w:r>
    </w:p>
    <w:p>
      <w:pPr>
        <w:pStyle w:val="ListParagraph"/>
        <w:numPr>
          <w:ilvl w:val="0"/>
          <w:numId w:val="3"/>
        </w:numPr>
        <w:spacing w:after="90" w:line="268"/>
      </w:pPr>
      <w:r>
        <w:t xml:space="preserve">Cross-cutting: every finalized report is hashed and appended to the audit ledger; low-confidence predictions are routed to the feedback queue; findings are mirrored to the SIEM export connector; the analyst copilot reads the same report/evidence store to answer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3700"/>
        <w:gridCol w:w="3700"/>
      </w:tblGrid>
      <w:t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Layer</w:t>
            </w:r>
          </w:p>
        </w:tc>
        <w:tc>
          <w:tcPr>
            <w:tcW w:type="dxa" w:w="900"/>
            <w:shd w:fill="1F3864" w:color="auto" w:val="clear"/>
            <w:tcMar>
              <w:top w:type="dxa" w:w="80"/>
              <w:left w:type="dxa" w:w="110"/>
              <w:bottom w:type="dxa" w:w="80"/>
              <w:right w:type="dxa" w:w="110"/>
            </w:tcMar>
            <w:vAlign w:val="center"/>
          </w:tcPr>
          <w:p>
            <w:pPr>
              <w:jc w:val="left"/>
            </w:pPr>
            <w:r>
              <w:rPr>
                <w:b/>
                <w:bCs/>
                <w:color w:val="FFFFFF"/>
                <w:sz w:val="20"/>
                <w:szCs w:val="20"/>
              </w:rPr>
              <w:t xml:space="preserve">PS Task</w:t>
            </w:r>
          </w:p>
        </w:tc>
        <w:tc>
          <w:tcPr>
            <w:tcW w:type="dxa" w:w="3700"/>
            <w:shd w:fill="1F3864" w:color="auto" w:val="clear"/>
            <w:tcMar>
              <w:top w:type="dxa" w:w="80"/>
              <w:left w:type="dxa" w:w="110"/>
              <w:bottom w:type="dxa" w:w="80"/>
              <w:right w:type="dxa" w:w="110"/>
            </w:tcMar>
            <w:vAlign w:val="center"/>
          </w:tcPr>
          <w:p>
            <w:pPr>
              <w:jc w:val="left"/>
            </w:pPr>
            <w:r>
              <w:rPr>
                <w:b/>
                <w:bCs/>
                <w:color w:val="FFFFFF"/>
                <w:sz w:val="20"/>
                <w:szCs w:val="20"/>
              </w:rPr>
              <w:t xml:space="preserve">What it does</w:t>
            </w:r>
          </w:p>
        </w:tc>
        <w:tc>
          <w:tcPr>
            <w:tcW w:type="dxa" w:w="3700"/>
            <w:shd w:fill="1F3864" w:color="auto" w:val="clear"/>
            <w:tcMar>
              <w:top w:type="dxa" w:w="80"/>
              <w:left w:type="dxa" w:w="110"/>
              <w:bottom w:type="dxa" w:w="80"/>
              <w:right w:type="dxa" w:w="110"/>
            </w:tcMar>
            <w:vAlign w:val="center"/>
          </w:tcPr>
          <w:p>
            <w:pPr>
              <w:jc w:val="left"/>
            </w:pPr>
            <w:r>
              <w:rPr>
                <w:b/>
                <w:bCs/>
                <w:color w:val="FFFFFF"/>
                <w:sz w:val="20"/>
                <w:szCs w:val="20"/>
              </w:rPr>
              <w:t xml:space="preserve">Key components</w:t>
            </w:r>
          </w:p>
        </w:tc>
      </w:tr>
      <w:tr>
        <w:tc>
          <w:tcPr>
            <w:tcW w:type="dxa" w:w="13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1. VPN Testbed</w:t>
            </w:r>
          </w:p>
        </w:tc>
        <w:tc>
          <w:tcPr>
            <w:tcW w:type="dxa" w:w="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w:t>
            </w:r>
          </w:p>
        </w:tc>
        <w:tc>
          <w:tcPr>
            <w:tcW w:type="dxa" w:w="3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Spins up IPsec pairs across every required configuration axis (mode, cipher, DH group, PFS, IPv4/IPv6) and generates realistic traffic on top</w:t>
            </w:r>
          </w:p>
        </w:tc>
        <w:tc>
          <w:tcPr>
            <w:tcW w:type="dxa" w:w="3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Docker/GNS3 lab, strongSwan + Libreswan nodes, traffic generators</w:t>
            </w:r>
          </w:p>
        </w:tc>
      </w:tr>
      <w:tr>
        <w:tc>
          <w:tcPr>
            <w:tcW w:type="dxa" w:w="1300"/>
            <w:tcMar>
              <w:top w:type="dxa" w:w="80"/>
              <w:left w:type="dxa" w:w="110"/>
              <w:bottom w:type="dxa" w:w="80"/>
              <w:right w:type="dxa" w:w="110"/>
            </w:tcMar>
            <w:vAlign w:val="center"/>
          </w:tcPr>
          <w:p>
            <w:pPr>
              <w:jc w:val="left"/>
            </w:pPr>
            <w:r>
              <w:rPr>
                <w:b w:val="false"/>
                <w:bCs w:val="false"/>
                <w:color w:val="000000"/>
                <w:sz w:val="20"/>
                <w:szCs w:val="20"/>
              </w:rPr>
              <w:t xml:space="preserve">2. Capture</w:t>
            </w:r>
          </w:p>
        </w:tc>
        <w:tc>
          <w:tcPr>
            <w:tcW w:type="dxa" w:w="900"/>
            <w:tcMar>
              <w:top w:type="dxa" w:w="80"/>
              <w:left w:type="dxa" w:w="110"/>
              <w:bottom w:type="dxa" w:w="80"/>
              <w:right w:type="dxa" w:w="110"/>
            </w:tcMar>
            <w:vAlign w:val="center"/>
          </w:tcPr>
          <w:p>
            <w:pPr>
              <w:jc w:val="left"/>
            </w:pPr>
            <w:r>
              <w:rPr>
                <w:b w:val="false"/>
                <w:bCs w:val="false"/>
                <w:color w:val="000000"/>
                <w:sz w:val="20"/>
                <w:szCs w:val="20"/>
              </w:rPr>
              <w:t xml:space="preserve">(b)</w:t>
            </w:r>
          </w:p>
        </w:tc>
        <w:tc>
          <w:tcPr>
            <w:tcW w:type="dxa" w:w="3700"/>
            <w:tcMar>
              <w:top w:type="dxa" w:w="80"/>
              <w:left w:type="dxa" w:w="110"/>
              <w:bottom w:type="dxa" w:w="80"/>
              <w:right w:type="dxa" w:w="110"/>
            </w:tcMar>
            <w:vAlign w:val="center"/>
          </w:tcPr>
          <w:p>
            <w:pPr>
              <w:jc w:val="left"/>
            </w:pPr>
            <w:r>
              <w:rPr>
                <w:b w:val="false"/>
                <w:bCs w:val="false"/>
                <w:color w:val="000000"/>
                <w:sz w:val="20"/>
                <w:szCs w:val="20"/>
              </w:rPr>
              <w:t xml:space="preserve">Records IKE negotiation, ESP/AH streams and control traffic to labeled pcaps, tagged with ground-truth config metadata</w:t>
            </w:r>
          </w:p>
        </w:tc>
        <w:tc>
          <w:tcPr>
            <w:tcW w:type="dxa" w:w="3700"/>
            <w:tcMar>
              <w:top w:type="dxa" w:w="80"/>
              <w:left w:type="dxa" w:w="110"/>
              <w:bottom w:type="dxa" w:w="80"/>
              <w:right w:type="dxa" w:w="110"/>
            </w:tcMar>
            <w:vAlign w:val="center"/>
          </w:tcPr>
          <w:p>
            <w:pPr>
              <w:jc w:val="left"/>
            </w:pPr>
            <w:r>
              <w:rPr>
                <w:b w:val="false"/>
                <w:bCs w:val="false"/>
                <w:color w:val="000000"/>
                <w:sz w:val="20"/>
                <w:szCs w:val="20"/>
              </w:rPr>
              <w:t xml:space="preserve">tcpdump/dumpcap, Scapy/PyShark parsers, structured metadata store</w:t>
            </w:r>
          </w:p>
        </w:tc>
      </w:tr>
      <w:tr>
        <w:tc>
          <w:tcPr>
            <w:tcW w:type="dxa" w:w="13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3. AI Protocol &amp; Traffic Engine</w:t>
            </w:r>
          </w:p>
        </w:tc>
        <w:tc>
          <w:tcPr>
            <w:tcW w:type="dxa" w:w="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(c)</w:t>
            </w:r>
          </w:p>
        </w:tc>
        <w:tc>
          <w:tcPr>
            <w:tcW w:type="dxa" w:w="3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Deterministically parses cleartext IKE fields; ML models infer ESP-encapsulated traffic type from flow statistics; XAI layer explains every prediction</w:t>
            </w:r>
          </w:p>
        </w:tc>
        <w:tc>
          <w:tcPr>
            <w:tcW w:type="dxa" w:w="3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Rule-based IKE parser, RandomForest/1D-CNN flow classifier, SHAP explainability</w:t>
            </w:r>
          </w:p>
        </w:tc>
      </w:tr>
      <w:tr>
        <w:tc>
          <w:tcPr>
            <w:tcW w:type="dxa" w:w="1300"/>
            <w:tcMar>
              <w:top w:type="dxa" w:w="80"/>
              <w:left w:type="dxa" w:w="110"/>
              <w:bottom w:type="dxa" w:w="80"/>
              <w:right w:type="dxa" w:w="110"/>
            </w:tcMar>
            <w:vAlign w:val="center"/>
          </w:tcPr>
          <w:p>
            <w:pPr>
              <w:jc w:val="left"/>
            </w:pPr>
            <w:r>
              <w:rPr>
                <w:b w:val="false"/>
                <w:bCs w:val="false"/>
                <w:color w:val="000000"/>
                <w:sz w:val="20"/>
                <w:szCs w:val="20"/>
              </w:rPr>
              <w:t xml:space="preserve">4. Security Assessment Engine</w:t>
            </w:r>
          </w:p>
        </w:tc>
        <w:tc>
          <w:tcPr>
            <w:tcW w:type="dxa" w:w="900"/>
            <w:tcMar>
              <w:top w:type="dxa" w:w="80"/>
              <w:left w:type="dxa" w:w="110"/>
              <w:bottom w:type="dxa" w:w="80"/>
              <w:right w:type="dxa" w:w="110"/>
            </w:tcMar>
            <w:vAlign w:val="center"/>
          </w:tcPr>
          <w:p>
            <w:pPr>
              <w:jc w:val="left"/>
            </w:pPr>
            <w:r>
              <w:rPr>
                <w:b w:val="false"/>
                <w:bCs w:val="false"/>
                <w:color w:val="000000"/>
                <w:sz w:val="20"/>
                <w:szCs w:val="20"/>
              </w:rPr>
              <w:t xml:space="preserve">(d)</w:t>
            </w:r>
          </w:p>
        </w:tc>
        <w:tc>
          <w:tcPr>
            <w:tcW w:type="dxa" w:w="3700"/>
            <w:tcMar>
              <w:top w:type="dxa" w:w="80"/>
              <w:left w:type="dxa" w:w="110"/>
              <w:bottom w:type="dxa" w:w="80"/>
              <w:right w:type="dxa" w:w="110"/>
            </w:tcMar>
            <w:vAlign w:val="center"/>
          </w:tcPr>
          <w:p>
            <w:pPr>
              <w:jc w:val="left"/>
            </w:pPr>
            <w:r>
              <w:rPr>
                <w:b w:val="false"/>
                <w:bCs w:val="false"/>
                <w:color w:val="000000"/>
                <w:sz w:val="20"/>
                <w:szCs w:val="20"/>
              </w:rPr>
              <w:t xml:space="preserve">Scores crypto strength, SA parameters, key lifetime, replay protection, PFS status and metadata exposure against NIST SP 800-77 / CNSA rubric</w:t>
            </w:r>
          </w:p>
        </w:tc>
        <w:tc>
          <w:tcPr>
            <w:tcW w:type="dxa" w:w="3700"/>
            <w:tcMar>
              <w:top w:type="dxa" w:w="80"/>
              <w:left w:type="dxa" w:w="110"/>
              <w:bottom w:type="dxa" w:w="80"/>
              <w:right w:type="dxa" w:w="110"/>
            </w:tcMar>
            <w:vAlign w:val="center"/>
          </w:tcPr>
          <w:p>
            <w:pPr>
              <w:jc w:val="left"/>
            </w:pPr>
            <w:r>
              <w:rPr>
                <w:b w:val="false"/>
                <w:bCs w:val="false"/>
                <w:color w:val="000000"/>
                <w:sz w:val="20"/>
                <w:szCs w:val="20"/>
              </w:rPr>
              <w:t xml:space="preserve">Weighted rule engine + policy simulator + attack-replay sandbox</w:t>
            </w:r>
          </w:p>
        </w:tc>
      </w:tr>
      <w:tr>
        <w:tc>
          <w:tcPr>
            <w:tcW w:type="dxa" w:w="13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5. Reporting &amp; Dashboard</w:t>
            </w:r>
          </w:p>
        </w:tc>
        <w:tc>
          <w:tcPr>
            <w:tcW w:type="dxa" w:w="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(e)</w:t>
            </w:r>
          </w:p>
        </w:tc>
        <w:tc>
          <w:tcPr>
            <w:tcW w:type="dxa" w:w="3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Renders live security score, threat matrix, AI confidence, and generates executive + technical reports on demand</w:t>
            </w:r>
          </w:p>
        </w:tc>
        <w:tc>
          <w:tcPr>
            <w:tcW w:type="dxa" w:w="3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React/Next.js dashboard, FastAPI backend, WebSocket live feed, PDF/DOCX report generator</w:t>
            </w:r>
          </w:p>
        </w:tc>
      </w:tr>
      <w:tr>
        <w:tc>
          <w:tcPr>
            <w:tcW w:type="dxa" w:w="1300"/>
            <w:tcMar>
              <w:top w:type="dxa" w:w="80"/>
              <w:left w:type="dxa" w:w="110"/>
              <w:bottom w:type="dxa" w:w="80"/>
              <w:right w:type="dxa" w:w="110"/>
            </w:tcMar>
            <w:vAlign w:val="center"/>
          </w:tcPr>
          <w:p>
            <w:pPr>
              <w:jc w:val="left"/>
            </w:pPr>
            <w:r>
              <w:rPr>
                <w:b w:val="false"/>
                <w:bCs w:val="false"/>
                <w:color w:val="000000"/>
                <w:sz w:val="20"/>
                <w:szCs w:val="20"/>
              </w:rPr>
              <w:t xml:space="preserve">6. Cross-cutting Trust Layer</w:t>
            </w:r>
          </w:p>
        </w:tc>
        <w:tc>
          <w:tcPr>
            <w:tcW w:type="dxa" w:w="900"/>
            <w:tcMar>
              <w:top w:type="dxa" w:w="80"/>
              <w:left w:type="dxa" w:w="110"/>
              <w:bottom w:type="dxa" w:w="80"/>
              <w:right w:type="dxa" w:w="110"/>
            </w:tcMar>
            <w:vAlign w:val="center"/>
          </w:tcPr>
          <w:p>
            <w:pPr>
              <w:jc w:val="left"/>
            </w:pPr>
            <w:r>
              <w:rPr>
                <w:b w:val="false"/>
                <w:bCs w:val="false"/>
                <w:color w:val="000000"/>
                <w:sz w:val="20"/>
                <w:szCs w:val="20"/>
              </w:rPr>
              <w:t xml:space="preserve">New</w:t>
            </w:r>
          </w:p>
        </w:tc>
        <w:tc>
          <w:tcPr>
            <w:tcW w:type="dxa" w:w="3700"/>
            <w:tcMar>
              <w:top w:type="dxa" w:w="80"/>
              <w:left w:type="dxa" w:w="110"/>
              <w:bottom w:type="dxa" w:w="80"/>
              <w:right w:type="dxa" w:w="110"/>
            </w:tcMar>
            <w:vAlign w:val="center"/>
          </w:tcPr>
          <w:p>
            <w:pPr>
              <w:jc w:val="left"/>
            </w:pPr>
            <w:r>
              <w:rPr>
                <w:b w:val="false"/>
                <w:bCs w:val="false"/>
                <w:color w:val="000000"/>
                <w:sz w:val="20"/>
                <w:szCs w:val="20"/>
              </w:rPr>
              <w:t xml:space="preserve">Audit-trail hashing/ledger, SIEM export, analyst copilot, robustness testing, feedback-loop retraining</w:t>
            </w:r>
          </w:p>
        </w:tc>
        <w:tc>
          <w:tcPr>
            <w:tcW w:type="dxa" w:w="3700"/>
            <w:tcMar>
              <w:top w:type="dxa" w:w="80"/>
              <w:left w:type="dxa" w:w="110"/>
              <w:bottom w:type="dxa" w:w="80"/>
              <w:right w:type="dxa" w:w="110"/>
            </w:tcMar>
            <w:vAlign w:val="center"/>
          </w:tcPr>
          <w:p>
            <w:pPr>
              <w:jc w:val="left"/>
            </w:pPr>
            <w:r>
              <w:rPr>
                <w:b w:val="false"/>
                <w:bCs w:val="false"/>
                <w:color w:val="000000"/>
                <w:sz w:val="20"/>
                <w:szCs w:val="20"/>
              </w:rPr>
              <w:t xml:space="preserve">Hash-chain/Hyperledger Fabric, CEF/Syslog exporter, LLM copilot service, adversarial-traffic generator, retraining scheduler</w:t>
            </w:r>
          </w:p>
        </w:tc>
      </w:tr>
    </w:tbl>
    <w:p>
      <w:pPr>
        <w:pStyle w:val="Heading1"/>
        <w:spacing w:after="160" w:before="340"/>
      </w:pPr>
      <w:r>
        <w:t xml:space="preserve">5. AI/ML Methodology</w:t>
      </w:r>
    </w:p>
    <w:p>
      <w:pPr>
        <w:pStyle w:val="Heading2"/>
        <w:spacing w:after="120" w:before="240"/>
      </w:pPr>
      <w:r>
        <w:t xml:space="preserve">5.1 Protocol / mode / cipher identification — deterministic, not ML</w:t>
      </w:r>
    </w:p>
    <w:p>
      <w:pPr>
        <w:spacing w:after="140" w:line="276"/>
      </w:pPr>
      <w:r>
        <w:t xml:space="preserve">IKE_SA_INIT and IKE_AUTH exchanges expose SPI, exchange type, cipher/DH/PRF/integrity proposals, and (for IKEv1) aggressive-vs-main mode — all in cleartext. This is parsed directly (a grammar/parser over ISAKMP/IKEv2 headers), giving 100% deterministic ground truth for protocol, version, mode, algorithm and DH group with no ML uncertainty. Being explicit about this in the pitch is a credibility signal — it shows the team knows exactly where cryptography stops being visible and stops over-claiming “AI” for a parsing problem.</w:t>
      </w:r>
    </w:p>
    <w:p>
      <w:pPr>
        <w:pStyle w:val="Heading2"/>
        <w:spacing w:after="120" w:before="240"/>
      </w:pPr>
      <w:r>
        <w:t xml:space="preserve">5.2 ESP traffic-type classification — the actual ML problem</w:t>
      </w:r>
    </w:p>
    <w:p>
      <w:pPr>
        <w:pStyle w:val="ListParagraph"/>
        <w:numPr>
          <w:ilvl w:val="0"/>
          <w:numId w:val="3"/>
        </w:numPr>
        <w:spacing w:after="90" w:line="268"/>
      </w:pPr>
      <w:r>
        <w:t xml:space="preserve">Features: packet-size distribution (mean/variance/mode), inter-arrival-time statistics, burst duration and burst packet count, directionality ratio (up/down byte ratio), flow duration — all extractable without decryption.</w:t>
      </w:r>
    </w:p>
    <w:p>
      <w:pPr>
        <w:pStyle w:val="ListParagraph"/>
        <w:numPr>
          <w:ilvl w:val="0"/>
          <w:numId w:val="3"/>
        </w:numPr>
        <w:spacing w:after="90" w:line="268"/>
      </w:pPr>
      <w:r>
        <w:t xml:space="preserve">Models: start with RandomForest/XGBoost as a fast, explainable baseline (matches published results of 90%+ accuracy on similar tasks); add a 1D-CNN or FlowPic-style image-encoded model as a stretch goal for a stronger stage-2 accuracy claim.</w:t>
      </w:r>
    </w:p>
    <w:p>
      <w:pPr>
        <w:pStyle w:val="ListParagraph"/>
        <w:numPr>
          <w:ilvl w:val="0"/>
          <w:numId w:val="3"/>
        </w:numPr>
        <w:spacing w:after="90" w:line="268"/>
      </w:pPr>
      <w:r>
        <w:t xml:space="preserve">Explainability: SHAP values surfaced per-prediction to power the AI Confidence Score requirement with a real explanation, not a bare softmax number.</w:t>
      </w:r>
    </w:p>
    <w:p>
      <w:pPr>
        <w:pStyle w:val="ListParagraph"/>
        <w:numPr>
          <w:ilvl w:val="0"/>
          <w:numId w:val="3"/>
        </w:numPr>
        <w:spacing w:after="90" w:line="268"/>
      </w:pPr>
      <w:r>
        <w:t xml:space="preserve">Validation: train/test split across multiple testbed implementations (strongSwan/Libreswan/native OS) and across IPv4 and IPv6 to demonstrate generalisation, not memorisation of one lab's quirks.</w:t>
      </w:r>
    </w:p>
    <w:p>
      <w:pPr>
        <w:pStyle w:val="ListParagraph"/>
        <w:numPr>
          <w:ilvl w:val="0"/>
          <w:numId w:val="3"/>
        </w:numPr>
        <w:spacing w:after="90" w:line="268"/>
      </w:pPr>
      <w:r>
        <w:t xml:space="preserve">Robustness (new): a held-out adversarial test set with padded/fragmented/jittered ESP flows is used to report a robustness delta (accuracy on clean vs. evasion-shaped traffic), feeding the Tier-3 robustness score.</w:t>
      </w:r>
    </w:p>
    <w:p>
      <w:pPr>
        <w:pStyle w:val="Heading2"/>
        <w:spacing w:after="120" w:before="240"/>
      </w:pPr>
      <w:r>
        <w:t xml:space="preserve">5.3 Security scoring model</w:t>
      </w:r>
    </w:p>
    <w:p>
      <w:pPr>
        <w:spacing w:after="140" w:line="276"/>
      </w:pPr>
      <w:r>
        <w:t xml:space="preserve">A transparent, weighted rubric (not a hidden ML score) referencing NIST SP 800-77 Rev.1 cryptographic guidance plus CNSA 2.0 long-term-strength suites: cipher strength, DH group strength, PFS enabled/disabled, key lifetime, replay-window configuration, IKE version/mode risk, and metadata exposure are each scored and rolled into a single 0–100 posture score with a severity-banded threat matrix. Being rule-based and citeable is a deliberate choice — a judge can ask “why did this configuration score 42?” and get a defensible, standards-linked answer instead of “the model said so.”</w:t>
      </w:r>
    </w:p>
    <w:p>
      <w:pPr>
        <w:pStyle w:val="Heading1"/>
        <w:spacing w:after="160" w:before="340"/>
      </w:pPr>
      <w:r>
        <w:t xml:space="preserve">6. Proposed Tech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900"/>
      </w:tblGrid>
      <w:tr>
        <w:tc>
          <w:tcPr>
            <w:tcW w:type="dxa" w:w="2200"/>
            <w:shd w:fill="1F3864" w:color="auto" w:val="clear"/>
            <w:tcMar>
              <w:top w:type="dxa" w:w="80"/>
              <w:left w:type="dxa" w:w="110"/>
              <w:bottom w:type="dxa" w:w="80"/>
              <w:right w:type="dxa" w:w="110"/>
            </w:tcMar>
            <w:vAlign w:val="center"/>
          </w:tcPr>
          <w:p>
            <w:pPr>
              <w:jc w:val="left"/>
            </w:pPr>
            <w:r>
              <w:rPr>
                <w:b/>
                <w:bCs/>
                <w:color w:val="FFFFFF"/>
                <w:sz w:val="20"/>
                <w:szCs w:val="20"/>
              </w:rPr>
              <w:t xml:space="preserve">Layer</w:t>
            </w:r>
          </w:p>
        </w:tc>
        <w:tc>
          <w:tcPr>
            <w:tcW w:type="dxa" w:w="4600"/>
            <w:shd w:fill="1F3864" w:color="auto" w:val="clear"/>
            <w:tcMar>
              <w:top w:type="dxa" w:w="80"/>
              <w:left w:type="dxa" w:w="110"/>
              <w:bottom w:type="dxa" w:w="80"/>
              <w:right w:type="dxa" w:w="110"/>
            </w:tcMar>
            <w:vAlign w:val="center"/>
          </w:tcPr>
          <w:p>
            <w:pPr>
              <w:jc w:val="left"/>
            </w:pPr>
            <w:r>
              <w:rPr>
                <w:b/>
                <w:bCs/>
                <w:color w:val="FFFFFF"/>
                <w:sz w:val="20"/>
                <w:szCs w:val="20"/>
              </w:rPr>
              <w:t xml:space="preserve">Choice</w:t>
            </w:r>
          </w:p>
        </w:tc>
        <w:tc>
          <w:tcPr>
            <w:tcW w:type="dxa" w:w="2900"/>
            <w:shd w:fill="1F3864" w:color="auto" w:val="clear"/>
            <w:tcMar>
              <w:top w:type="dxa" w:w="80"/>
              <w:left w:type="dxa" w:w="110"/>
              <w:bottom w:type="dxa" w:w="80"/>
              <w:right w:type="dxa" w:w="110"/>
            </w:tcMar>
            <w:vAlign w:val="center"/>
          </w:tcPr>
          <w:p>
            <w:pPr>
              <w:jc w:val="left"/>
            </w:pPr>
            <w:r>
              <w:rPr>
                <w:b/>
                <w:bCs/>
                <w:color w:val="FFFFFF"/>
                <w:sz w:val="20"/>
                <w:szCs w:val="20"/>
              </w:rPr>
              <w:t xml:space="preserve">Why</w:t>
            </w:r>
          </w:p>
        </w:tc>
      </w:tr>
      <w:tr>
        <w:tc>
          <w:tcPr>
            <w:tcW w:type="dxa" w:w="22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IPsec testbed</w:t>
            </w:r>
          </w:p>
        </w:tc>
        <w:tc>
          <w:tcPr>
            <w:tcW w:type="dxa" w:w="4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strongSwan + Libreswan (Docker/GNS3), native OS IPsec for cross-vendor validation</w:t>
            </w:r>
          </w:p>
        </w:tc>
        <w:tc>
          <w:tcPr>
            <w:tcW w:type="dxa" w:w="29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Open-source, config-flexible, industry-standard implementations</w:t>
            </w:r>
          </w:p>
        </w:tc>
      </w:tr>
      <w:tr>
        <w:tc>
          <w:tcPr>
            <w:tcW w:type="dxa" w:w="2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Traffic generation</w:t>
            </w:r>
          </w:p>
        </w:tc>
        <w:tc>
          <w:tcPr>
            <w:tcW w:type="dxa" w:w="4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iperf3, SIPp (VoIP), ffmpeg (video), curl/Selenium (web), swaks (email), ping/ping6 (ICMP)</w:t>
            </w:r>
          </w:p>
        </w:tc>
        <w:tc>
          <w:tcPr>
            <w:tcW w:type="dxa" w:w="2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Reproducible, scriptable multi-traffic-type generation</w:t>
            </w:r>
          </w:p>
        </w:tc>
      </w:tr>
      <w:tr>
        <w:tc>
          <w:tcPr>
            <w:tcW w:type="dxa" w:w="22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Capture &amp; parsing</w:t>
            </w:r>
          </w:p>
        </w:tc>
        <w:tc>
          <w:tcPr>
            <w:tcW w:type="dxa" w:w="4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tcpdump/dumpcap, Scapy, PyShark</w:t>
            </w:r>
          </w:p>
        </w:tc>
        <w:tc>
          <w:tcPr>
            <w:tcW w:type="dxa" w:w="29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Reliable pcap capture and header-level IKE parsing</w:t>
            </w:r>
          </w:p>
        </w:tc>
      </w:tr>
      <w:tr>
        <w:tc>
          <w:tcPr>
            <w:tcW w:type="dxa" w:w="2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ML/AI</w:t>
            </w:r>
          </w:p>
        </w:tc>
        <w:tc>
          <w:tcPr>
            <w:tcW w:type="dxa" w:w="4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Python, scikit-learn / XGBoost, PyTorch (CNN stretch goal), SHAP</w:t>
            </w:r>
          </w:p>
        </w:tc>
        <w:tc>
          <w:tcPr>
            <w:tcW w:type="dxa" w:w="2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Fast baseline + explainability; matches published research approach</w:t>
            </w:r>
          </w:p>
        </w:tc>
      </w:tr>
      <w:tr>
        <w:tc>
          <w:tcPr>
            <w:tcW w:type="dxa" w:w="22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Backend / API</w:t>
            </w:r>
          </w:p>
        </w:tc>
        <w:tc>
          <w:tcPr>
            <w:tcW w:type="dxa" w:w="4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FastAPI, WebSockets for live streaming</w:t>
            </w:r>
          </w:p>
        </w:tc>
        <w:tc>
          <w:tcPr>
            <w:tcW w:type="dxa" w:w="29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Async-friendly, plays well with ML inference and a live dashboard</w:t>
            </w:r>
          </w:p>
        </w:tc>
      </w:tr>
      <w:tr>
        <w:tc>
          <w:tcPr>
            <w:tcW w:type="dxa" w:w="2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Frontend / dashboard</w:t>
            </w:r>
          </w:p>
        </w:tc>
        <w:tc>
          <w:tcPr>
            <w:tcW w:type="dxa" w:w="4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React + Next.js, Recharts/D3 for live score &amp; threat-matrix visuals</w:t>
            </w:r>
          </w:p>
        </w:tc>
        <w:tc>
          <w:tcPr>
            <w:tcW w:type="dxa" w:w="2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Consistent with prior full-stack experience; fast to iterate for a demo</w:t>
            </w:r>
          </w:p>
        </w:tc>
      </w:tr>
      <w:tr>
        <w:tc>
          <w:tcPr>
            <w:tcW w:type="dxa" w:w="22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Reporting</w:t>
            </w:r>
          </w:p>
        </w:tc>
        <w:tc>
          <w:tcPr>
            <w:tcW w:type="dxa" w:w="4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LLM-assisted summarisation (constrained/templated) + WeasyPrint or docx generation for PDF/DOCX exports</w:t>
            </w:r>
          </w:p>
        </w:tc>
        <w:tc>
          <w:tcPr>
            <w:tcW w:type="dxa" w:w="29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Two-tier executive vs technical report generation</w:t>
            </w:r>
          </w:p>
        </w:tc>
      </w:tr>
      <w:tr>
        <w:tc>
          <w:tcPr>
            <w:tcW w:type="dxa" w:w="2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Audit ledger (new)</w:t>
            </w:r>
          </w:p>
        </w:tc>
        <w:tc>
          <w:tcPr>
            <w:tcW w:type="dxa" w:w="4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Lightweight hash-chain service; optional Hyperledger Fabric permissioned channel</w:t>
            </w:r>
          </w:p>
        </w:tc>
        <w:tc>
          <w:tcPr>
            <w:tcW w:type="dxa" w:w="2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Tamper-evident report chain-of-custody without full public-chain overhead</w:t>
            </w:r>
          </w:p>
        </w:tc>
      </w:tr>
      <w:tr>
        <w:tc>
          <w:tcPr>
            <w:tcW w:type="dxa" w:w="22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SOC integration (new)</w:t>
            </w:r>
          </w:p>
        </w:tc>
        <w:tc>
          <w:tcPr>
            <w:tcW w:type="dxa" w:w="4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CEF/Syslog exporter, Splunk/ELK-compatible JSON feed</w:t>
            </w:r>
          </w:p>
        </w:tc>
        <w:tc>
          <w:tcPr>
            <w:tcW w:type="dxa" w:w="29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Practical drop-in to an existing SOC pipeline</w:t>
            </w:r>
          </w:p>
        </w:tc>
      </w:tr>
      <w:tr>
        <w:tc>
          <w:tcPr>
            <w:tcW w:type="dxa" w:w="22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Deployment</w:t>
            </w:r>
          </w:p>
        </w:tc>
        <w:tc>
          <w:tcPr>
            <w:tcW w:type="dxa" w:w="4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Docker Compose for the whole stack (testbed + backend + frontend), optional cloud (AWS/GCP) demo instance</w:t>
            </w:r>
          </w:p>
        </w:tc>
        <w:tc>
          <w:tcPr>
            <w:tcW w:type="dxa" w:w="29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Reproducible judge-side demo, matches existing AWS/GCP familiarity</w:t>
            </w:r>
          </w:p>
        </w:tc>
      </w:tr>
    </w:tbl>
    <w:p>
      <w:pPr>
        <w:pStyle w:val="Heading1"/>
        <w:spacing w:after="160" w:before="340"/>
      </w:pPr>
      <w:r>
        <w:t xml:space="preserve">7. Team Roles &amp; Responsibilities</w:t>
      </w:r>
    </w:p>
    <w:p>
      <w:pPr>
        <w:spacing w:after="140" w:line="276"/>
      </w:pPr>
      <w:r>
        <w:t xml:space="preserve">Mapped to a typical SIH team of six students; adjust names/counts to your actual roster. Each phase below references these roles as “Owner.”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00"/>
      </w:tblGrid>
      <w:tr>
        <w:tc>
          <w:tcPr>
            <w:tcW w:type="dxa" w:w="2600"/>
            <w:shd w:fill="1F3864" w:color="auto" w:val="clear"/>
            <w:tcMar>
              <w:top w:type="dxa" w:w="80"/>
              <w:left w:type="dxa" w:w="110"/>
              <w:bottom w:type="dxa" w:w="80"/>
              <w:right w:type="dxa" w:w="110"/>
            </w:tcMar>
            <w:vAlign w:val="center"/>
          </w:tcPr>
          <w:p>
            <w:pPr>
              <w:jc w:val="left"/>
            </w:pPr>
            <w:r>
              <w:rPr>
                <w:b/>
                <w:bCs/>
                <w:color w:val="FFFFFF"/>
                <w:sz w:val="20"/>
                <w:szCs w:val="20"/>
              </w:rPr>
              <w:t xml:space="preserve">Role</w:t>
            </w:r>
          </w:p>
        </w:tc>
        <w:tc>
          <w:tcPr>
            <w:tcW w:type="dxa" w:w="3600"/>
            <w:shd w:fill="1F3864" w:color="auto" w:val="clear"/>
            <w:tcMar>
              <w:top w:type="dxa" w:w="80"/>
              <w:left w:type="dxa" w:w="110"/>
              <w:bottom w:type="dxa" w:w="80"/>
              <w:right w:type="dxa" w:w="110"/>
            </w:tcMar>
            <w:vAlign w:val="center"/>
          </w:tcPr>
          <w:p>
            <w:pPr>
              <w:jc w:val="left"/>
            </w:pPr>
            <w:r>
              <w:rPr>
                <w:b/>
                <w:bCs/>
                <w:color w:val="FFFFFF"/>
                <w:sz w:val="20"/>
                <w:szCs w:val="20"/>
              </w:rPr>
              <w:t xml:space="preserve">Primary Responsibility</w:t>
            </w:r>
          </w:p>
        </w:tc>
        <w:tc>
          <w:tcPr>
            <w:tcW w:type="dxa" w:w="3500"/>
            <w:shd w:fill="1F3864" w:color="auto" w:val="clear"/>
            <w:tcMar>
              <w:top w:type="dxa" w:w="80"/>
              <w:left w:type="dxa" w:w="110"/>
              <w:bottom w:type="dxa" w:w="80"/>
              <w:right w:type="dxa" w:w="110"/>
            </w:tcMar>
            <w:vAlign w:val="center"/>
          </w:tcPr>
          <w:p>
            <w:pPr>
              <w:jc w:val="left"/>
            </w:pPr>
            <w:r>
              <w:rPr>
                <w:b/>
                <w:bCs/>
                <w:color w:val="FFFFFF"/>
                <w:sz w:val="20"/>
                <w:szCs w:val="20"/>
              </w:rPr>
              <w:t xml:space="preserve">Secondary / Supports</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Team Lead / PM</w:t>
            </w:r>
          </w:p>
        </w:tc>
        <w:tc>
          <w:tcPr>
            <w:tcW w:type="dxa" w:w="3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Scope control, jury narrative, milestone tracking, risk register owner</w:t>
            </w:r>
          </w:p>
        </w:tc>
        <w:tc>
          <w:tcPr>
            <w:tcW w:type="dxa" w:w="3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Coordinates demo rehearsal and report tone</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Network &amp; Testbed Engineer</w:t>
            </w:r>
          </w:p>
        </w:tc>
        <w:tc>
          <w:tcPr>
            <w:tcW w:type="dxa" w:w="3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strongSwan/Libreswan/native-OS lab, config matrix, traffic generators, capture pipeline</w:t>
            </w:r>
          </w:p>
        </w:tc>
        <w:tc>
          <w:tcPr>
            <w:tcW w:type="dxa" w:w="3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Attack-replay sandbox, live-mode capture</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ML Engineer – Classical</w:t>
            </w:r>
          </w:p>
        </w:tc>
        <w:tc>
          <w:tcPr>
            <w:tcW w:type="dxa" w:w="3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Feature engineering, RandomForest/XGBoost baseline, SHAP explainability</w:t>
            </w:r>
          </w:p>
        </w:tc>
        <w:tc>
          <w:tcPr>
            <w:tcW w:type="dxa" w:w="3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Robustness testing harness</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ML Engineer – Deep/Applied</w:t>
            </w:r>
          </w:p>
        </w:tc>
        <w:tc>
          <w:tcPr>
            <w:tcW w:type="dxa" w:w="3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1D-CNN/FlowPic stretch model, active-learning feedback loop</w:t>
            </w:r>
          </w:p>
        </w:tc>
        <w:tc>
          <w:tcPr>
            <w:tcW w:type="dxa" w:w="3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Model packaging for retraining job</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Backend Engineer</w:t>
            </w:r>
          </w:p>
        </w:tc>
        <w:tc>
          <w:tcPr>
            <w:tcW w:type="dxa" w:w="3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FastAPI services, scoring engine, WebSocket live feed, SIEM export connector</w:t>
            </w:r>
          </w:p>
        </w:tc>
        <w:tc>
          <w:tcPr>
            <w:tcW w:type="dxa" w:w="3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Audit-ledger hashing service, API for copilot</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Frontend Engineer</w:t>
            </w:r>
          </w:p>
        </w:tc>
        <w:tc>
          <w:tcPr>
            <w:tcW w:type="dxa" w:w="3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React/Next.js dashboard, live score/threat-matrix visuals, report UI</w:t>
            </w:r>
          </w:p>
        </w:tc>
        <w:tc>
          <w:tcPr>
            <w:tcW w:type="dxa" w:w="3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Analyst copilot chat UI, feedback-queue UI</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Security/Compliance Researcher</w:t>
            </w:r>
          </w:p>
        </w:tc>
        <w:tc>
          <w:tcPr>
            <w:tcW w:type="dxa" w:w="36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NIST SP 800-77/CNSA/CERT-In mapping, threat-matrix ATT&amp;CK IDs, executive/technical report content</w:t>
            </w:r>
          </w:p>
        </w:tc>
        <w:tc>
          <w:tcPr>
            <w:tcW w:type="dxa" w:w="3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Policy simulator rubric</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DevOps &amp; Documentation (shared)</w:t>
            </w:r>
          </w:p>
        </w:tc>
        <w:tc>
          <w:tcPr>
            <w:tcW w:type="dxa" w:w="36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Docker Compose packaging, CI, demo video, technical documentation, dataset packaging</w:t>
            </w:r>
          </w:p>
        </w:tc>
        <w:tc>
          <w:tcPr>
            <w:tcW w:type="dxa" w:w="3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Grand-finale rehearsal logistics</w:t>
            </w:r>
          </w:p>
        </w:tc>
      </w:tr>
    </w:tbl>
    <w:p>
      <w:r>
        <w:br w:type="page"/>
      </w:r>
    </w:p>
    <w:p>
      <w:pPr>
        <w:pStyle w:val="Heading1"/>
        <w:spacing w:after="160" w:before="340"/>
      </w:pPr>
      <w:r>
        <w:t xml:space="preserve">8. Detailed Phase-Wise Execution Roadmap</w:t>
      </w:r>
    </w:p>
    <w:p>
      <w:pPr>
        <w:spacing w:after="140" w:line="276"/>
      </w:pPr>
      <w:r>
        <w:t xml:space="preserve">Nine weeks, day-level breakdown. Compress or stretch proportionally once the official SIH software-edition calendar is confirmed — relative sequencing and dependencies matter more than absolute dates. “Owner” refers to roles in Section 7.</w:t>
      </w:r>
    </w:p>
    <w:p>
      <w:pPr>
        <w:pStyle w:val="Heading2"/>
        <w:spacing w:after="120" w:before="240"/>
      </w:pPr>
      <w:r>
        <w:t xml:space="preserve">Phase 1: Foundation &amp; Lab Bring-up</w:t>
      </w:r>
    </w:p>
    <w:p>
      <w:pPr>
        <w:spacing w:after="120"/>
      </w:pPr>
      <w:r>
        <w:rPr>
          <w:b/>
          <w:bCs/>
          <w:color w:val="1F3864"/>
        </w:rPr>
        <w:t xml:space="preserve">Duration: </w:t>
      </w:r>
      <w:r>
        <w:t xml:space="preserve">Week 1–2 (Days 1–10)   |   </w:t>
      </w:r>
      <w:r>
        <w:rPr>
          <w:b/>
          <w:bCs/>
          <w:color w:val="1F3864"/>
        </w:rPr>
        <w:t xml:space="preserve">Objective: </w:t>
      </w:r>
      <w:r>
        <w:rPr>
          <w:i/>
          <w:iCs/>
        </w:rPr>
        <w:t xml:space="preserve">Stand up a genuinely diverse, reproducible IPsec lab — the credibility foundation the whole PS rests 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1–2</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Finalise architecture (Section 4) and confirm scope with mentors</w:t>
            </w:r>
          </w:p>
          <w:p>
            <w:pPr>
              <w:pStyle w:val="ListParagraph"/>
              <w:numPr>
                <w:ilvl w:val="0"/>
                <w:numId w:val="3"/>
              </w:numPr>
              <w:spacing w:after="0"/>
            </w:pPr>
            <w:r>
              <w:rPr>
                <w:sz w:val="20"/>
                <w:szCs w:val="20"/>
              </w:rPr>
              <w:t xml:space="preserve">Set up shared repo, project board, coding standards, Docker base images</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 DevOps</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3–5</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Deploy strongSwan and Libreswan node pairs in Docker/GNS3</w:t>
            </w:r>
          </w:p>
          <w:p>
            <w:pPr>
              <w:pStyle w:val="ListParagraph"/>
              <w:numPr>
                <w:ilvl w:val="0"/>
                <w:numId w:val="3"/>
              </w:numPr>
              <w:spacing w:after="60"/>
            </w:pPr>
            <w:r>
              <w:rPr>
                <w:sz w:val="20"/>
                <w:szCs w:val="20"/>
              </w:rPr>
              <w:t xml:space="preserve">Configure Tunnel vs Transport mode variants</w:t>
            </w:r>
          </w:p>
          <w:p>
            <w:pPr>
              <w:pStyle w:val="ListParagraph"/>
              <w:numPr>
                <w:ilvl w:val="0"/>
                <w:numId w:val="3"/>
              </w:numPr>
              <w:spacing w:after="0"/>
            </w:pPr>
            <w:r>
              <w:rPr>
                <w:sz w:val="20"/>
                <w:szCs w:val="20"/>
              </w:rPr>
              <w:t xml:space="preserve">Configure AES-128, AES-256, AES-GCM, AES-CBC+HMAC cipher variants</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5–7</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Add DH Group variations and PFS on/off toggles</w:t>
            </w:r>
          </w:p>
          <w:p>
            <w:pPr>
              <w:pStyle w:val="ListParagraph"/>
              <w:numPr>
                <w:ilvl w:val="0"/>
                <w:numId w:val="3"/>
              </w:numPr>
              <w:spacing w:after="60"/>
            </w:pPr>
            <w:r>
              <w:rPr>
                <w:sz w:val="20"/>
                <w:szCs w:val="20"/>
              </w:rPr>
              <w:t xml:space="preserve">Bring up IPv4 and IPv6 dual-stack connectivity between lab nodes</w:t>
            </w:r>
          </w:p>
          <w:p>
            <w:pPr>
              <w:pStyle w:val="ListParagraph"/>
              <w:numPr>
                <w:ilvl w:val="0"/>
                <w:numId w:val="3"/>
              </w:numPr>
              <w:spacing w:after="0"/>
            </w:pPr>
            <w:r>
              <w:rPr>
                <w:sz w:val="20"/>
                <w:szCs w:val="20"/>
              </w:rPr>
              <w:t xml:space="preserve">Add native OS IPsec (Windows/macOS) nodes for cross-vendor coverage</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7–10</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Script traffic generators: iperf3, SIPp (VoIP), ffmpeg (video), curl/Selenium (web), swaks (email), ping/ping6 (ICMP)</w:t>
            </w:r>
          </w:p>
          <w:p>
            <w:pPr>
              <w:pStyle w:val="ListParagraph"/>
              <w:numPr>
                <w:ilvl w:val="0"/>
                <w:numId w:val="3"/>
              </w:numPr>
              <w:spacing w:after="60"/>
            </w:pPr>
            <w:r>
              <w:rPr>
                <w:sz w:val="20"/>
                <w:szCs w:val="20"/>
              </w:rPr>
              <w:t xml:space="preserve">Smoke-test every mode × cipher × DH-group × PFS × IP-version combination end-to-end</w:t>
            </w:r>
          </w:p>
          <w:p>
            <w:pPr>
              <w:pStyle w:val="ListParagraph"/>
              <w:numPr>
                <w:ilvl w:val="0"/>
                <w:numId w:val="3"/>
              </w:numPr>
              <w:spacing w:after="0"/>
            </w:pPr>
            <w:r>
              <w:rPr>
                <w:sz w:val="20"/>
                <w:szCs w:val="20"/>
              </w:rPr>
              <w:t xml:space="preserve">Draft the configuration matrix spreadsheet used to drive dataset labels</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 Backend Engineer</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Docker Compose lab spinning up all required IPsec configuration axes on demand</w:t>
      </w:r>
    </w:p>
    <w:p>
      <w:pPr>
        <w:pStyle w:val="ListParagraph"/>
        <w:numPr>
          <w:ilvl w:val="0"/>
          <w:numId w:val="3"/>
        </w:numPr>
        <w:spacing w:after="90" w:line="268"/>
      </w:pPr>
      <w:r>
        <w:t xml:space="preserve">Traffic-generation scripts for all six required traffic types</w:t>
      </w:r>
    </w:p>
    <w:p>
      <w:pPr>
        <w:pStyle w:val="ListParagraph"/>
        <w:numPr>
          <w:ilvl w:val="0"/>
          <w:numId w:val="3"/>
        </w:numPr>
        <w:spacing w:after="90" w:line="268"/>
      </w:pPr>
      <w:r>
        <w:t xml:space="preserve">Configuration matrix spreadsheet (mode × cipher × DH group × PFS × IP version)</w:t>
      </w:r>
    </w:p>
    <w:p>
      <w:pPr>
        <w:spacing w:after="40" w:before="100"/>
      </w:pPr>
      <w:r>
        <w:rPr>
          <w:b/>
          <w:bCs/>
          <w:color w:val="0E7C7B"/>
        </w:rPr>
        <w:t xml:space="preserve">Exit criteria (Definition of Done)</w:t>
      </w:r>
    </w:p>
    <w:p>
      <w:pPr>
        <w:pStyle w:val="ListParagraph"/>
        <w:numPr>
          <w:ilvl w:val="0"/>
          <w:numId w:val="3"/>
        </w:numPr>
        <w:spacing w:after="90" w:line="268"/>
      </w:pPr>
      <w:r>
        <w:t xml:space="preserve">Every required configuration axis in the PS (a) can be brought up with a single script/command</w:t>
      </w:r>
    </w:p>
    <w:p>
      <w:pPr>
        <w:pStyle w:val="ListParagraph"/>
        <w:numPr>
          <w:ilvl w:val="0"/>
          <w:numId w:val="3"/>
        </w:numPr>
        <w:spacing w:after="90" w:line="268"/>
      </w:pPr>
      <w:r>
        <w:t xml:space="preserve">At least one full run of every traffic type completes without manual intervention</w:t>
      </w:r>
    </w:p>
    <w:p>
      <w:pPr>
        <w:spacing w:after="40" w:before="100"/>
      </w:pPr>
      <w:r>
        <w:rPr>
          <w:b/>
          <w:bCs/>
          <w:color w:val="C0392B"/>
        </w:rPr>
        <w:t xml:space="preserve">Key risk &amp; mitigation</w:t>
      </w:r>
    </w:p>
    <w:p>
      <w:pPr>
        <w:pStyle w:val="ListParagraph"/>
        <w:numPr>
          <w:ilvl w:val="0"/>
          <w:numId w:val="3"/>
        </w:numPr>
        <w:spacing w:after="90" w:line="268"/>
      </w:pPr>
      <w:r>
        <w:t xml:space="preserve">Native-OS IPsec interoperability quirks (Windows/macOS) eat time — mitigate by starting cross-vendor nodes early (Day 5) in parallel with strongSwan/Libreswan, not after.</w:t>
      </w:r>
    </w:p>
    <w:p>
      <w:pPr>
        <w:pStyle w:val="Heading2"/>
        <w:spacing w:after="120" w:before="240"/>
      </w:pPr>
      <w:r>
        <w:t xml:space="preserve">Phase 2: Dataset Generation &amp; Deterministic IKE Parsing</w:t>
      </w:r>
    </w:p>
    <w:p>
      <w:pPr>
        <w:spacing w:after="120"/>
      </w:pPr>
      <w:r>
        <w:rPr>
          <w:b/>
          <w:bCs/>
          <w:color w:val="1F3864"/>
        </w:rPr>
        <w:t xml:space="preserve">Duration: </w:t>
      </w:r>
      <w:r>
        <w:t xml:space="preserve">Week 2–3 (Days 8–16)   |   </w:t>
      </w:r>
      <w:r>
        <w:rPr>
          <w:b/>
          <w:bCs/>
          <w:color w:val="1F3864"/>
        </w:rPr>
        <w:t xml:space="preserve">Objective: </w:t>
      </w:r>
      <w:r>
        <w:rPr>
          <w:i/>
          <w:iCs/>
        </w:rPr>
        <w:t xml:space="preserve">Produce the labeled multi-configuration capture dataset and the rule-based IKE parser that gives 100% deterministic protocol/mode/cipher ground truth.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8–10</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Run the full configuration matrix × traffic-type sweep and capture with tcpdump/dumpcap</w:t>
            </w:r>
          </w:p>
          <w:p>
            <w:pPr>
              <w:pStyle w:val="ListParagraph"/>
              <w:numPr>
                <w:ilvl w:val="0"/>
                <w:numId w:val="3"/>
              </w:numPr>
              <w:spacing w:after="0"/>
            </w:pPr>
            <w:r>
              <w:rPr>
                <w:sz w:val="20"/>
                <w:szCs w:val="20"/>
              </w:rPr>
              <w:t xml:space="preserve">Tag every capture with ground-truth metadata (mode, cipher, DH group, PFS, IP version, traffic type)</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10–13</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ISAKMP/IKEv2 grammar parser (Scapy/PyShark) extracting SPI, exchange type, cipher/DH/PRF/integrity proposals, aggressive-vs-main mode</w:t>
            </w:r>
          </w:p>
          <w:p>
            <w:pPr>
              <w:pStyle w:val="ListParagraph"/>
              <w:numPr>
                <w:ilvl w:val="0"/>
                <w:numId w:val="3"/>
              </w:numPr>
              <w:spacing w:after="0"/>
            </w:pPr>
            <w:r>
              <w:rPr>
                <w:sz w:val="20"/>
                <w:szCs w:val="20"/>
              </w:rPr>
              <w:t xml:space="preserve">Validate parser output against the ground-truth metadata for 100% match</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Backend Engineer, ML Engineer – Classical</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13–15</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Extract ESP-side flow features: packet-size distribution, inter-arrival timing, burst stats, directionality ratio, flow duration</w:t>
            </w:r>
          </w:p>
          <w:p>
            <w:pPr>
              <w:pStyle w:val="ListParagraph"/>
              <w:numPr>
                <w:ilvl w:val="0"/>
                <w:numId w:val="3"/>
              </w:numPr>
              <w:spacing w:after="0"/>
            </w:pPr>
            <w:r>
              <w:rPr>
                <w:sz w:val="20"/>
                <w:szCs w:val="20"/>
              </w:rPr>
              <w:t xml:space="preserve">Assemble the structured, labeled feature dataset for ML training</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ML Engineer – Classical</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15–16</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Package the dataset (raw pcaps + extracted features + labels) with a data card describing collection methodology</w:t>
            </w:r>
          </w:p>
          <w:p>
            <w:pPr>
              <w:pStyle w:val="ListParagraph"/>
              <w:numPr>
                <w:ilvl w:val="0"/>
                <w:numId w:val="3"/>
              </w:numPr>
              <w:spacing w:after="0"/>
            </w:pPr>
            <w:r>
              <w:rPr>
                <w:sz w:val="20"/>
                <w:szCs w:val="20"/>
              </w:rPr>
              <w:t xml:space="preserve">Internal review checkpoint against PS deliverable (g): “dataset used for training/testing”</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Security/Compliance Researcher</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Labeled, multi-configuration, multi-traffic-type pcap dataset with a documented data card</w:t>
      </w:r>
    </w:p>
    <w:p>
      <w:pPr>
        <w:pStyle w:val="ListParagraph"/>
        <w:numPr>
          <w:ilvl w:val="0"/>
          <w:numId w:val="3"/>
        </w:numPr>
        <w:spacing w:after="90" w:line="268"/>
      </w:pPr>
      <w:r>
        <w:t xml:space="preserve">Working IKE/ISAKMP parser validated at 100% accuracy against ground truth</w:t>
      </w:r>
    </w:p>
    <w:p>
      <w:pPr>
        <w:pStyle w:val="ListParagraph"/>
        <w:numPr>
          <w:ilvl w:val="0"/>
          <w:numId w:val="3"/>
        </w:numPr>
        <w:spacing w:after="90" w:line="268"/>
      </w:pPr>
      <w:r>
        <w:t xml:space="preserve">Extracted ESP flow-feature table ready for model training</w:t>
      </w:r>
    </w:p>
    <w:p>
      <w:pPr>
        <w:spacing w:after="40" w:before="100"/>
      </w:pPr>
      <w:r>
        <w:rPr>
          <w:b/>
          <w:bCs/>
          <w:color w:val="0E7C7B"/>
        </w:rPr>
        <w:t xml:space="preserve">Exit criteria (Definition of Done)</w:t>
      </w:r>
    </w:p>
    <w:p>
      <w:pPr>
        <w:pStyle w:val="ListParagraph"/>
        <w:numPr>
          <w:ilvl w:val="0"/>
          <w:numId w:val="3"/>
        </w:numPr>
        <w:spacing w:after="90" w:line="268"/>
      </w:pPr>
      <w:r>
        <w:t xml:space="preserve">Parser correctly identifies protocol, IKE version, mode, cipher, DH group and PFS status for every capture in the dataset</w:t>
      </w:r>
    </w:p>
    <w:p>
      <w:pPr>
        <w:pStyle w:val="ListParagraph"/>
        <w:numPr>
          <w:ilvl w:val="0"/>
          <w:numId w:val="3"/>
        </w:numPr>
        <w:spacing w:after="90" w:line="268"/>
      </w:pPr>
      <w:r>
        <w:t xml:space="preserve">Dataset covers every configuration axis and traffic type from Phase 1 with no missing combinations</w:t>
      </w:r>
    </w:p>
    <w:p>
      <w:pPr>
        <w:spacing w:after="40" w:before="100"/>
      </w:pPr>
      <w:r>
        <w:rPr>
          <w:b/>
          <w:bCs/>
          <w:color w:val="C0392B"/>
        </w:rPr>
        <w:t xml:space="preserve">Key risk &amp; mitigation</w:t>
      </w:r>
    </w:p>
    <w:p>
      <w:pPr>
        <w:pStyle w:val="ListParagraph"/>
        <w:numPr>
          <w:ilvl w:val="0"/>
          <w:numId w:val="3"/>
        </w:numPr>
        <w:spacing w:after="90" w:line="268"/>
      </w:pPr>
      <w:r>
        <w:t xml:space="preserve">IPv6 capture/parsing edge cases are easy to under-test — mitigate with an explicit IPv6-only validation pass before moving to Phase 3, not folded silently into the IPv4 pass.</w:t>
      </w:r>
    </w:p>
    <w:p>
      <w:pPr>
        <w:pStyle w:val="Heading2"/>
        <w:spacing w:after="120" w:before="240"/>
      </w:pPr>
      <w:r>
        <w:t xml:space="preserve">Phase 3: ML Classification Engine v1</w:t>
      </w:r>
    </w:p>
    <w:p>
      <w:pPr>
        <w:spacing w:after="120"/>
      </w:pPr>
      <w:r>
        <w:rPr>
          <w:b/>
          <w:bCs/>
          <w:color w:val="1F3864"/>
        </w:rPr>
        <w:t xml:space="preserve">Duration: </w:t>
      </w:r>
      <w:r>
        <w:t xml:space="preserve">Week 3–5 (Days 15–25)   |   </w:t>
      </w:r>
      <w:r>
        <w:rPr>
          <w:b/>
          <w:bCs/>
          <w:color w:val="1F3864"/>
        </w:rPr>
        <w:t xml:space="preserve">Objective: </w:t>
      </w:r>
      <w:r>
        <w:rPr>
          <w:i/>
          <w:iCs/>
        </w:rPr>
        <w:t xml:space="preserve">Deliver a working, explainable ESP traffic-type classifier — the PS's genuinely hard, research-grade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15–18</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Train RandomForest/XGBoost baseline on the Phase-2 feature dataset</w:t>
            </w:r>
          </w:p>
          <w:p>
            <w:pPr>
              <w:pStyle w:val="ListParagraph"/>
              <w:numPr>
                <w:ilvl w:val="0"/>
                <w:numId w:val="3"/>
              </w:numPr>
              <w:spacing w:after="0"/>
            </w:pPr>
            <w:r>
              <w:rPr>
                <w:sz w:val="20"/>
                <w:szCs w:val="20"/>
              </w:rPr>
              <w:t xml:space="preserve">Cross-validate across strongSwan/Libreswan/native-OS captures and across IPv4/IPv6 to check generalisation</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ML Engineer – Classical</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18–21</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Integrate SHAP explainability so every prediction ships a feature-importance explanation</w:t>
            </w:r>
          </w:p>
          <w:p>
            <w:pPr>
              <w:pStyle w:val="ListParagraph"/>
              <w:numPr>
                <w:ilvl w:val="0"/>
                <w:numId w:val="3"/>
              </w:numPr>
              <w:spacing w:after="0"/>
            </w:pPr>
            <w:r>
              <w:rPr>
                <w:sz w:val="20"/>
                <w:szCs w:val="20"/>
              </w:rPr>
              <w:t xml:space="preserve">Wire the classifier into a scoring service exposing a prediction + confidence + explanation API</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ML Engineer – Classical, Backend Engineer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21–24</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1D-CNN / FlowPic-style stretch-goal model as a stronger stage-2 accuracy claim</w:t>
            </w:r>
          </w:p>
          <w:p>
            <w:pPr>
              <w:pStyle w:val="ListParagraph"/>
              <w:numPr>
                <w:ilvl w:val="0"/>
                <w:numId w:val="3"/>
              </w:numPr>
              <w:spacing w:after="0"/>
            </w:pPr>
            <w:r>
              <w:rPr>
                <w:sz w:val="20"/>
                <w:szCs w:val="20"/>
              </w:rPr>
              <w:t xml:space="preserve">Benchmark stretch model vs. baseline on held-out test split; keep whichever wins for the live demo</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ML Engineer – Deep/Applied</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24–25</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Stand up the adversarial robustness harness (padding/fragmentation/jitter-shaped ESP flows)</w:t>
            </w:r>
          </w:p>
          <w:p>
            <w:pPr>
              <w:pStyle w:val="ListParagraph"/>
              <w:numPr>
                <w:ilvl w:val="0"/>
                <w:numId w:val="3"/>
              </w:numPr>
              <w:spacing w:after="0"/>
            </w:pPr>
            <w:r>
              <w:rPr>
                <w:sz w:val="20"/>
                <w:szCs w:val="20"/>
              </w:rPr>
              <w:t xml:space="preserve">Report clean-vs-adversarial accuracy delta as the Tier-3 robustness score</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ML Engineer – Deep/Applied</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Deployed baseline classifier with SHAP-based confidence explanations, exposed via API</w:t>
      </w:r>
    </w:p>
    <w:p>
      <w:pPr>
        <w:pStyle w:val="ListParagraph"/>
        <w:numPr>
          <w:ilvl w:val="0"/>
          <w:numId w:val="3"/>
        </w:numPr>
        <w:spacing w:after="90" w:line="268"/>
      </w:pPr>
      <w:r>
        <w:t xml:space="preserve">Stretch-goal deep model benchmarked against the baseline</w:t>
      </w:r>
    </w:p>
    <w:p>
      <w:pPr>
        <w:pStyle w:val="ListParagraph"/>
        <w:numPr>
          <w:ilvl w:val="0"/>
          <w:numId w:val="3"/>
        </w:numPr>
        <w:spacing w:after="90" w:line="268"/>
      </w:pPr>
      <w:r>
        <w:t xml:space="preserve">Robustness/evasion test report with a robustness score</w:t>
      </w:r>
    </w:p>
    <w:p>
      <w:pPr>
        <w:spacing w:after="40" w:before="100"/>
      </w:pPr>
      <w:r>
        <w:rPr>
          <w:b/>
          <w:bCs/>
          <w:color w:val="0E7C7B"/>
        </w:rPr>
        <w:t xml:space="preserve">Exit criteria (Definition of Done)</w:t>
      </w:r>
    </w:p>
    <w:p>
      <w:pPr>
        <w:pStyle w:val="ListParagraph"/>
        <w:numPr>
          <w:ilvl w:val="0"/>
          <w:numId w:val="3"/>
        </w:numPr>
        <w:spacing w:after="90" w:line="268"/>
      </w:pPr>
      <w:r>
        <w:t xml:space="preserve">Classifier achieves ≥90% accuracy on held-out, cross-implementation test data for the required traffic types</w:t>
      </w:r>
    </w:p>
    <w:p>
      <w:pPr>
        <w:pStyle w:val="ListParagraph"/>
        <w:numPr>
          <w:ilvl w:val="0"/>
          <w:numId w:val="3"/>
        </w:numPr>
        <w:spacing w:after="90" w:line="268"/>
      </w:pPr>
      <w:r>
        <w:t xml:space="preserve">Every prediction returned by the API includes a human-readable confidence explanation, not a bare number</w:t>
      </w:r>
    </w:p>
    <w:p>
      <w:pPr>
        <w:spacing w:after="40" w:before="100"/>
      </w:pPr>
      <w:r>
        <w:rPr>
          <w:b/>
          <w:bCs/>
          <w:color w:val="C0392B"/>
        </w:rPr>
        <w:t xml:space="preserve">Key risk &amp; mitigation</w:t>
      </w:r>
    </w:p>
    <w:p>
      <w:pPr>
        <w:pStyle w:val="ListParagraph"/>
        <w:numPr>
          <w:ilvl w:val="0"/>
          <w:numId w:val="3"/>
        </w:numPr>
        <w:spacing w:after="90" w:line="268"/>
      </w:pPr>
      <w:r>
        <w:t xml:space="preserve">Overfitting to one strongSwan lab's packet quirks is the single biggest credibility risk — mitigate by always reporting cross-implementation validation numbers alongside same-implementation numbers, never only the latter.</w:t>
      </w:r>
    </w:p>
    <w:p>
      <w:pPr>
        <w:pStyle w:val="Heading2"/>
        <w:spacing w:after="120" w:before="240"/>
      </w:pPr>
      <w:r>
        <w:t xml:space="preserve">Phase 4: Security Scoring Engine + Dashboard v1</w:t>
      </w:r>
    </w:p>
    <w:p>
      <w:pPr>
        <w:spacing w:after="120"/>
      </w:pPr>
      <w:r>
        <w:rPr>
          <w:b/>
          <w:bCs/>
          <w:color w:val="1F3864"/>
        </w:rPr>
        <w:t xml:space="preserve">Duration: </w:t>
      </w:r>
      <w:r>
        <w:t xml:space="preserve">Week 4–6 (Days 22–35)   |   </w:t>
      </w:r>
      <w:r>
        <w:rPr>
          <w:b/>
          <w:bCs/>
          <w:color w:val="1F3864"/>
        </w:rPr>
        <w:t xml:space="preserve">Objective: </w:t>
      </w:r>
      <w:r>
        <w:rPr>
          <w:i/>
          <w:iCs/>
        </w:rPr>
        <w:t xml:space="preserve">Turn parser + classifier output into a standards-linked risk score and a live dashboard analysts can actually read.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22–25</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Encode the NIST SP 800-77 / CNSA 2.0 weighted rubric (cipher strength, DH strength, PFS, key lifetime, replay window, mode/version risk, metadata exposure)</w:t>
            </w:r>
          </w:p>
          <w:p>
            <w:pPr>
              <w:pStyle w:val="ListParagraph"/>
              <w:numPr>
                <w:ilvl w:val="0"/>
                <w:numId w:val="3"/>
              </w:numPr>
              <w:spacing w:after="0"/>
            </w:pPr>
            <w:r>
              <w:rPr>
                <w:sz w:val="20"/>
                <w:szCs w:val="20"/>
              </w:rPr>
              <w:t xml:space="preserve">Unit-test the rubric against hand-scored reference configurations</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Security/Compliance Researcher, Backend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25–28</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PQC-readiness sub-score (flag harvest-now-decrypt-later-vulnerable DH groups/key sizes, suggest hybrid migration path)</w:t>
            </w:r>
          </w:p>
          <w:p>
            <w:pPr>
              <w:pStyle w:val="ListParagraph"/>
              <w:numPr>
                <w:ilvl w:val="0"/>
                <w:numId w:val="3"/>
              </w:numPr>
              <w:spacing w:after="0"/>
            </w:pPr>
            <w:r>
              <w:rPr>
                <w:sz w:val="20"/>
                <w:szCs w:val="20"/>
              </w:rPr>
              <w:t xml:space="preserve">Wire the scoring engine to the Phase-2/3 parser and classifier outputs end-to-end</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Security/Compliance Researcher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28–32</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React/Next.js dashboard shell: live posture score, threat matrix, AI confidence view</w:t>
            </w:r>
          </w:p>
          <w:p>
            <w:pPr>
              <w:pStyle w:val="ListParagraph"/>
              <w:numPr>
                <w:ilvl w:val="0"/>
                <w:numId w:val="3"/>
              </w:numPr>
              <w:spacing w:after="0"/>
            </w:pPr>
            <w:r>
              <w:rPr>
                <w:sz w:val="20"/>
                <w:szCs w:val="20"/>
              </w:rPr>
              <w:t xml:space="preserve">Wire FastAPI + WebSocket live feed from lab captures into the dashboard</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Frontend Engineer, Backend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32–35</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Map the required Threat Matrix onto MITRE ATT&amp;CK technique IDs</w:t>
            </w:r>
          </w:p>
          <w:p>
            <w:pPr>
              <w:pStyle w:val="ListParagraph"/>
              <w:numPr>
                <w:ilvl w:val="0"/>
                <w:numId w:val="3"/>
              </w:numPr>
              <w:spacing w:after="0"/>
            </w:pPr>
            <w:r>
              <w:rPr>
                <w:sz w:val="20"/>
                <w:szCs w:val="20"/>
              </w:rPr>
              <w:t xml:space="preserve">First internal end-to-end demo: capture → parse → classify → score → dashboard</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Frontend Engineer, Security/Compliance Researcher</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Weighted, standards-linked 0–100 posture scoring engine with PQC-readiness sub-score</w:t>
      </w:r>
    </w:p>
    <w:p>
      <w:pPr>
        <w:pStyle w:val="ListParagraph"/>
        <w:numPr>
          <w:ilvl w:val="0"/>
          <w:numId w:val="3"/>
        </w:numPr>
        <w:spacing w:after="90" w:line="268"/>
      </w:pPr>
      <w:r>
        <w:t xml:space="preserve">Live React/Next.js dashboard showing score, ATT&amp;CK-mapped threat matrix, and AI confidence</w:t>
      </w:r>
    </w:p>
    <w:p>
      <w:pPr>
        <w:pStyle w:val="ListParagraph"/>
        <w:numPr>
          <w:ilvl w:val="0"/>
          <w:numId w:val="3"/>
        </w:numPr>
        <w:spacing w:after="90" w:line="268"/>
      </w:pPr>
      <w:r>
        <w:t xml:space="preserve">First working end-to-end pipeline demo (internal)</w:t>
      </w:r>
    </w:p>
    <w:p>
      <w:pPr>
        <w:spacing w:after="40" w:before="100"/>
      </w:pPr>
      <w:r>
        <w:rPr>
          <w:b/>
          <w:bCs/>
          <w:color w:val="0E7C7B"/>
        </w:rPr>
        <w:t xml:space="preserve">Exit criteria (Definition of Done)</w:t>
      </w:r>
    </w:p>
    <w:p>
      <w:pPr>
        <w:pStyle w:val="ListParagraph"/>
        <w:numPr>
          <w:ilvl w:val="0"/>
          <w:numId w:val="3"/>
        </w:numPr>
        <w:spacing w:after="90" w:line="268"/>
      </w:pPr>
      <w:r>
        <w:t xml:space="preserve">Any configuration in the Phase-1 matrix produces a score with a rubric-traceable breakdown (“why 42” is answerable)</w:t>
      </w:r>
    </w:p>
    <w:p>
      <w:pPr>
        <w:pStyle w:val="ListParagraph"/>
        <w:numPr>
          <w:ilvl w:val="0"/>
          <w:numId w:val="3"/>
        </w:numPr>
        <w:spacing w:after="90" w:line="268"/>
      </w:pPr>
      <w:r>
        <w:t xml:space="preserve">Dashboard updates live from a running capture, not only from static pre-computed data</w:t>
      </w:r>
    </w:p>
    <w:p>
      <w:pPr>
        <w:spacing w:after="40" w:before="100"/>
      </w:pPr>
      <w:r>
        <w:rPr>
          <w:b/>
          <w:bCs/>
          <w:color w:val="C0392B"/>
        </w:rPr>
        <w:t xml:space="preserve">Key risk &amp; mitigation</w:t>
      </w:r>
    </w:p>
    <w:p>
      <w:pPr>
        <w:pStyle w:val="ListParagraph"/>
        <w:numPr>
          <w:ilvl w:val="0"/>
          <w:numId w:val="3"/>
        </w:numPr>
        <w:spacing w:after="90" w:line="268"/>
      </w:pPr>
      <w:r>
        <w:t xml:space="preserve">Scope creep on dashboard polish before the pipeline is functionally complete — mitigate by freezing dashboard styling work until the Day-35 end-to-end demo passes.</w:t>
      </w:r>
    </w:p>
    <w:p>
      <w:pPr>
        <w:pStyle w:val="Heading2"/>
        <w:spacing w:after="120" w:before="240"/>
      </w:pPr>
      <w:r>
        <w:t xml:space="preserve">Phase 5: Differentiator / Wow-Feature Build-out</w:t>
      </w:r>
    </w:p>
    <w:p>
      <w:pPr>
        <w:spacing w:after="120"/>
      </w:pPr>
      <w:r>
        <w:rPr>
          <w:b/>
          <w:bCs/>
          <w:color w:val="1F3864"/>
        </w:rPr>
        <w:t xml:space="preserve">Duration: </w:t>
      </w:r>
      <w:r>
        <w:t xml:space="preserve">Week 6–7.5 (Days 36–52)   |   </w:t>
      </w:r>
      <w:r>
        <w:rPr>
          <w:b/>
          <w:bCs/>
          <w:color w:val="1F3864"/>
        </w:rPr>
        <w:t xml:space="preserve">Objective: </w:t>
      </w:r>
      <w:r>
        <w:rPr>
          <w:i/>
          <w:iCs/>
        </w:rPr>
        <w:t xml:space="preserve">Build the Tier-1/Tier-2 features that separate this submission from a generic Wireshark-plus-dashboard.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36–40</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Pre-Deployment Policy Simulator (paste/upload a proposed policy, get instant score + threat matrix)</w:t>
            </w:r>
          </w:p>
          <w:p>
            <w:pPr>
              <w:pStyle w:val="ListParagraph"/>
              <w:numPr>
                <w:ilvl w:val="0"/>
                <w:numId w:val="3"/>
              </w:numPr>
              <w:spacing w:after="0"/>
            </w:pPr>
            <w:r>
              <w:rPr>
                <w:sz w:val="20"/>
                <w:szCs w:val="20"/>
              </w:rPr>
              <w:t xml:space="preserve">Build the Active Attack-Replay Sandbox: Aggressive Mode PSK exposure, DH downgrade, replay-window abuse, weak-cipher forcing</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 Backend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40–44</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Wire the sandbox's live attacks to visibly move the dashboard's score in real time</w:t>
            </w:r>
          </w:p>
          <w:p>
            <w:pPr>
              <w:pStyle w:val="ListParagraph"/>
              <w:numPr>
                <w:ilvl w:val="0"/>
                <w:numId w:val="3"/>
              </w:numPr>
              <w:spacing w:after="0"/>
            </w:pPr>
            <w:r>
              <w:rPr>
                <w:sz w:val="20"/>
                <w:szCs w:val="20"/>
              </w:rPr>
              <w:t xml:space="preserve">Build Auto-Generated Remediation Config Diffs (strongSwan/Libreswan snippets per finding)</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Backend Engineer, Security/Compliance Researcher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44–48</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Natural-Language Executive Report Generation (two-tier executive/technical, LLM-assisted, templated/constrained)</w:t>
            </w:r>
          </w:p>
          <w:p>
            <w:pPr>
              <w:pStyle w:val="ListParagraph"/>
              <w:numPr>
                <w:ilvl w:val="0"/>
                <w:numId w:val="3"/>
              </w:numPr>
              <w:spacing w:after="0"/>
            </w:pPr>
            <w:r>
              <w:rPr>
                <w:sz w:val="20"/>
                <w:szCs w:val="20"/>
              </w:rPr>
              <w:t xml:space="preserve">Add India-context compliance mapping (CERT-In / NIC-GIGW references) alongside NIST/CNSA</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Security/Compliance Researcher, Backend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48–52</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Add Live Mode streaming anomaly detection (SA-rekey anomalies, DH-group renegotiation, replay-counter irregularities)</w:t>
            </w:r>
          </w:p>
          <w:p>
            <w:pPr>
              <w:pStyle w:val="ListParagraph"/>
              <w:numPr>
                <w:ilvl w:val="0"/>
                <w:numId w:val="3"/>
              </w:numPr>
              <w:spacing w:after="0"/>
            </w:pPr>
            <w:r>
              <w:rPr>
                <w:sz w:val="20"/>
                <w:szCs w:val="20"/>
              </w:rPr>
              <w:t xml:space="preserve">Run the classifier across the full Multi-Implementation Testbed Matrix and record generalisation numbers</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 ML Engineer – Classical</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Policy simulator and attack-replay sandbox, both wired live to the dashboard score</w:t>
      </w:r>
    </w:p>
    <w:p>
      <w:pPr>
        <w:pStyle w:val="ListParagraph"/>
        <w:numPr>
          <w:ilvl w:val="0"/>
          <w:numId w:val="3"/>
        </w:numPr>
        <w:spacing w:after="90" w:line="268"/>
      </w:pPr>
      <w:r>
        <w:t xml:space="preserve">Remediation config-diff generator and two-tier executive/technical report generator</w:t>
      </w:r>
    </w:p>
    <w:p>
      <w:pPr>
        <w:pStyle w:val="ListParagraph"/>
        <w:numPr>
          <w:ilvl w:val="0"/>
          <w:numId w:val="3"/>
        </w:numPr>
        <w:spacing w:after="90" w:line="268"/>
      </w:pPr>
      <w:r>
        <w:t xml:space="preserve">Live anomaly-detection mode and cross-implementation generalisation results</w:t>
      </w:r>
    </w:p>
    <w:p>
      <w:pPr>
        <w:spacing w:after="40" w:before="100"/>
      </w:pPr>
      <w:r>
        <w:rPr>
          <w:b/>
          <w:bCs/>
          <w:color w:val="0E7C7B"/>
        </w:rPr>
        <w:t xml:space="preserve">Exit criteria (Definition of Done)</w:t>
      </w:r>
    </w:p>
    <w:p>
      <w:pPr>
        <w:pStyle w:val="ListParagraph"/>
        <w:numPr>
          <w:ilvl w:val="0"/>
          <w:numId w:val="3"/>
        </w:numPr>
        <w:spacing w:after="90" w:line="268"/>
      </w:pPr>
      <w:r>
        <w:t xml:space="preserve">A jury member can trigger a known attack in the sandbox and watch the score drop in real time, unscripted</w:t>
      </w:r>
    </w:p>
    <w:p>
      <w:pPr>
        <w:pStyle w:val="ListParagraph"/>
        <w:numPr>
          <w:ilvl w:val="0"/>
          <w:numId w:val="3"/>
        </w:numPr>
        <w:spacing w:after="90" w:line="268"/>
      </w:pPr>
      <w:r>
        <w:t xml:space="preserve">Every automatically flagged finding has a corresponding concrete remediation snippet, not prose-only advice</w:t>
      </w:r>
    </w:p>
    <w:p>
      <w:pPr>
        <w:spacing w:after="40" w:before="100"/>
      </w:pPr>
      <w:r>
        <w:rPr>
          <w:b/>
          <w:bCs/>
          <w:color w:val="C0392B"/>
        </w:rPr>
        <w:t xml:space="preserve">Key risk &amp; mitigation</w:t>
      </w:r>
    </w:p>
    <w:p>
      <w:pPr>
        <w:pStyle w:val="ListParagraph"/>
        <w:numPr>
          <w:ilvl w:val="0"/>
          <w:numId w:val="3"/>
        </w:numPr>
        <w:spacing w:after="90" w:line="268"/>
      </w:pPr>
      <w:r>
        <w:t xml:space="preserve">The attack-replay sandbox is the highest-effort, highest-payoff feature and the one most likely to slip — mitigate by building it first in this phase (Day 36) and treating everything else as sequenced around it.</w:t>
      </w:r>
    </w:p>
    <w:p>
      <w:pPr>
        <w:pStyle w:val="Heading2"/>
        <w:spacing w:after="120" w:before="240"/>
      </w:pPr>
      <w:r>
        <w:t xml:space="preserve">Phase 6: Tier-3 Strategic Add-ons</w:t>
      </w:r>
    </w:p>
    <w:p>
      <w:pPr>
        <w:spacing w:after="120"/>
      </w:pPr>
      <w:r>
        <w:rPr>
          <w:b/>
          <w:bCs/>
          <w:color w:val="1F3864"/>
        </w:rPr>
        <w:t xml:space="preserve">Duration: </w:t>
      </w:r>
      <w:r>
        <w:t xml:space="preserve">Week 7–8 (Days 46–56, overlapping Phase 5 tail)   |   </w:t>
      </w:r>
      <w:r>
        <w:rPr>
          <w:b/>
          <w:bCs/>
          <w:color w:val="1F3864"/>
        </w:rPr>
        <w:t xml:space="preserve">Objective: </w:t>
      </w:r>
      <w:r>
        <w:rPr>
          <w:i/>
          <w:iCs/>
        </w:rPr>
        <w:t xml:space="preserve">Integrate the five newly proposed differentiators without destabilising the core pipeline.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46–49</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audit-ledger hashing service: hash every finalized report + evidence bundle into an append-only chain</w:t>
            </w:r>
          </w:p>
          <w:p>
            <w:pPr>
              <w:pStyle w:val="ListParagraph"/>
              <w:numPr>
                <w:ilvl w:val="0"/>
                <w:numId w:val="3"/>
              </w:numPr>
              <w:spacing w:after="0"/>
            </w:pPr>
            <w:r>
              <w:rPr>
                <w:sz w:val="20"/>
                <w:szCs w:val="20"/>
              </w:rPr>
              <w:t xml:space="preserve">Decide and implement scope: simple hash-chain vs. permissioned Hyperledger Fabric channel, based on remaining time budget</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Backend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49–52</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SIEM/SOC export connector (CEF/Syslog + Splunk/ELK-compatible JSON feed) for findings</w:t>
            </w:r>
          </w:p>
          <w:p>
            <w:pPr>
              <w:pStyle w:val="ListParagraph"/>
              <w:numPr>
                <w:ilvl w:val="0"/>
                <w:numId w:val="3"/>
              </w:numPr>
              <w:spacing w:after="0"/>
            </w:pPr>
            <w:r>
              <w:rPr>
                <w:sz w:val="20"/>
                <w:szCs w:val="20"/>
              </w:rPr>
              <w:t xml:space="preserve">Stand up the low-confidence feedback queue in the dashboard and the periodic retraining job wiring</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Backend Engineer, ML Engineer – Deep/Applied</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52–55</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the LLM-powered analyst copilot: constrained, report/evidence-grounded Q&amp;A over the current assessment</w:t>
            </w:r>
          </w:p>
          <w:p>
            <w:pPr>
              <w:pStyle w:val="ListParagraph"/>
              <w:numPr>
                <w:ilvl w:val="0"/>
                <w:numId w:val="3"/>
              </w:numPr>
              <w:spacing w:after="0"/>
            </w:pPr>
            <w:r>
              <w:rPr>
                <w:sz w:val="20"/>
                <w:szCs w:val="20"/>
              </w:rPr>
              <w:t xml:space="preserve">Guardrail the copilot to only answer from retrieved rubric rows and packet evidence, not free-form claims</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Backend Engineer, Frontend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55–56</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Integrate all Tier-3 services into the main dashboard navigation</w:t>
            </w:r>
          </w:p>
          <w:p>
            <w:pPr>
              <w:pStyle w:val="ListParagraph"/>
              <w:numPr>
                <w:ilvl w:val="0"/>
                <w:numId w:val="3"/>
              </w:numPr>
              <w:spacing w:after="0"/>
            </w:pPr>
            <w:r>
              <w:rPr>
                <w:sz w:val="20"/>
                <w:szCs w:val="20"/>
              </w:rPr>
              <w:t xml:space="preserve">Regression-test that Tier-3 additions do not break the Phase 3–5 pipeline or degrade demo latency</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 DevOps</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Tamper-evident audit trail for every issued report</w:t>
      </w:r>
    </w:p>
    <w:p>
      <w:pPr>
        <w:pStyle w:val="ListParagraph"/>
        <w:numPr>
          <w:ilvl w:val="0"/>
          <w:numId w:val="3"/>
        </w:numPr>
        <w:spacing w:after="90" w:line="268"/>
      </w:pPr>
      <w:r>
        <w:t xml:space="preserve">SIEM export connector and human-in-the-loop retraining feedback loop</w:t>
      </w:r>
    </w:p>
    <w:p>
      <w:pPr>
        <w:pStyle w:val="ListParagraph"/>
        <w:numPr>
          <w:ilvl w:val="0"/>
          <w:numId w:val="3"/>
        </w:numPr>
        <w:spacing w:after="90" w:line="268"/>
      </w:pPr>
      <w:r>
        <w:t xml:space="preserve">Report-grounded analyst copilot integrated into the dashboard</w:t>
      </w:r>
    </w:p>
    <w:p>
      <w:pPr>
        <w:spacing w:after="40" w:before="100"/>
      </w:pPr>
      <w:r>
        <w:rPr>
          <w:b/>
          <w:bCs/>
          <w:color w:val="0E7C7B"/>
        </w:rPr>
        <w:t xml:space="preserve">Exit criteria (Definition of Done)</w:t>
      </w:r>
    </w:p>
    <w:p>
      <w:pPr>
        <w:pStyle w:val="ListParagraph"/>
        <w:numPr>
          <w:ilvl w:val="0"/>
          <w:numId w:val="3"/>
        </w:numPr>
        <w:spacing w:after="90" w:line="268"/>
      </w:pPr>
      <w:r>
        <w:t xml:space="preserve">A report's hash can be independently re-verified against the ledger to prove it hasn't been altered</w:t>
      </w:r>
    </w:p>
    <w:p>
      <w:pPr>
        <w:pStyle w:val="ListParagraph"/>
        <w:numPr>
          <w:ilvl w:val="0"/>
          <w:numId w:val="3"/>
        </w:numPr>
        <w:spacing w:after="90" w:line="268"/>
      </w:pPr>
      <w:r>
        <w:t xml:space="preserve">The copilot answers a jury-style “why this score” question correctly, citing real rubric/evidence, with no hallucinated content</w:t>
      </w:r>
    </w:p>
    <w:p>
      <w:pPr>
        <w:spacing w:after="40" w:before="100"/>
      </w:pPr>
      <w:r>
        <w:rPr>
          <w:b/>
          <w:bCs/>
          <w:color w:val="C0392B"/>
        </w:rPr>
        <w:t xml:space="preserve">Key risk &amp; mitigation</w:t>
      </w:r>
    </w:p>
    <w:p>
      <w:pPr>
        <w:pStyle w:val="ListParagraph"/>
        <w:numPr>
          <w:ilvl w:val="0"/>
          <w:numId w:val="3"/>
        </w:numPr>
        <w:spacing w:after="90" w:line="268"/>
      </w:pPr>
      <w:r>
        <w:t xml:space="preserve">Treating all five Tier-3 items as equally mandatory risks under-baking each one — mitigate by ranking them (audit trail and copilot first, SIEM/feedback-loop second) and being willing to demo the lower-ranked two as “in progress / architecture-ready” rather than half-broken and live.</w:t>
      </w:r>
    </w:p>
    <w:p>
      <w:pPr>
        <w:pStyle w:val="Heading2"/>
        <w:spacing w:after="120" w:before="240"/>
      </w:pPr>
      <w:r>
        <w:t xml:space="preserve">Phase 7: Reporting, Documentation &amp; Packaging</w:t>
      </w:r>
    </w:p>
    <w:p>
      <w:pPr>
        <w:spacing w:after="120"/>
      </w:pPr>
      <w:r>
        <w:rPr>
          <w:b/>
          <w:bCs/>
          <w:color w:val="1F3864"/>
        </w:rPr>
        <w:t xml:space="preserve">Duration: </w:t>
      </w:r>
      <w:r>
        <w:t xml:space="preserve">Week 8–9 (Days 53–63)   |   </w:t>
      </w:r>
      <w:r>
        <w:rPr>
          <w:b/>
          <w:bCs/>
          <w:color w:val="1F3864"/>
        </w:rPr>
        <w:t xml:space="preserve">Objective: </w:t>
      </w:r>
      <w:r>
        <w:rPr>
          <w:i/>
          <w:iCs/>
        </w:rPr>
        <w:t xml:space="preserve">Convert the working system into the exact deliverable set the PS asks for, polished enough to stand alone.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53–56</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Finalise executive and technical report templates with real packet-level evidence and PDF/DOCX export</w:t>
            </w:r>
          </w:p>
          <w:p>
            <w:pPr>
              <w:pStyle w:val="ListParagraph"/>
              <w:numPr>
                <w:ilvl w:val="0"/>
                <w:numId w:val="3"/>
              </w:numPr>
              <w:spacing w:after="0"/>
            </w:pPr>
            <w:r>
              <w:rPr>
                <w:sz w:val="20"/>
                <w:szCs w:val="20"/>
              </w:rPr>
              <w:t xml:space="preserve">Write the technical documentation (architecture, API spec, model cards) alongside the build, not after</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Security/Compliance Researcher, DevOps</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56–59</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Package and publish the labeled IPsec dataset with its data card as the open research-artifact contribution</w:t>
            </w:r>
          </w:p>
          <w:p>
            <w:pPr>
              <w:pStyle w:val="ListParagraph"/>
              <w:numPr>
                <w:ilvl w:val="0"/>
                <w:numId w:val="3"/>
              </w:numPr>
              <w:spacing w:after="0"/>
            </w:pPr>
            <w:r>
              <w:rPr>
                <w:sz w:val="20"/>
                <w:szCs w:val="20"/>
              </w:rPr>
              <w:t xml:space="preserve">Freeze the Docker Compose stack as the single-command “working software prototype” deliverable</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 DevOps</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59–62</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Script and shoot the demonstration video, built around the attack-replay sandbox's live score-drop for visual impact</w:t>
            </w:r>
          </w:p>
          <w:p>
            <w:pPr>
              <w:pStyle w:val="ListParagraph"/>
              <w:numPr>
                <w:ilvl w:val="0"/>
                <w:numId w:val="3"/>
              </w:numPr>
              <w:spacing w:after="0"/>
            </w:pPr>
            <w:r>
              <w:rPr>
                <w:sz w:val="20"/>
                <w:szCs w:val="20"/>
              </w:rPr>
              <w:t xml:space="preserve">Full run-through of every PS-required deliverable against the actual submission checklist</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 Frontend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62–63</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Internal dry-run judging session with mentors playing the jury role</w:t>
            </w:r>
          </w:p>
          <w:p>
            <w:pPr>
              <w:pStyle w:val="ListParagraph"/>
              <w:numPr>
                <w:ilvl w:val="0"/>
                <w:numId w:val="3"/>
              </w:numPr>
              <w:spacing w:after="0"/>
            </w:pPr>
            <w:r>
              <w:rPr>
                <w:sz w:val="20"/>
                <w:szCs w:val="20"/>
              </w:rPr>
              <w:t xml:space="preserve">Fix-list triage: cosmetic vs. functional issues, prioritise functional</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Final executive + technical report generator, technical documentation, and published dataset</w:t>
      </w:r>
    </w:p>
    <w:p>
      <w:pPr>
        <w:pStyle w:val="ListParagraph"/>
        <w:numPr>
          <w:ilvl w:val="0"/>
          <w:numId w:val="3"/>
        </w:numPr>
        <w:spacing w:after="90" w:line="268"/>
      </w:pPr>
      <w:r>
        <w:t xml:space="preserve">Frozen, single-command Docker Compose prototype</w:t>
      </w:r>
    </w:p>
    <w:p>
      <w:pPr>
        <w:pStyle w:val="ListParagraph"/>
        <w:numPr>
          <w:ilvl w:val="0"/>
          <w:numId w:val="3"/>
        </w:numPr>
        <w:spacing w:after="90" w:line="268"/>
      </w:pPr>
      <w:r>
        <w:t xml:space="preserve">Demonstration video and a completed PS-deliverable checklist</w:t>
      </w:r>
    </w:p>
    <w:p>
      <w:pPr>
        <w:spacing w:after="40" w:before="100"/>
      </w:pPr>
      <w:r>
        <w:rPr>
          <w:b/>
          <w:bCs/>
          <w:color w:val="0E7C7B"/>
        </w:rPr>
        <w:t xml:space="preserve">Exit criteria (Definition of Done)</w:t>
      </w:r>
    </w:p>
    <w:p>
      <w:pPr>
        <w:pStyle w:val="ListParagraph"/>
        <w:numPr>
          <w:ilvl w:val="0"/>
          <w:numId w:val="3"/>
        </w:numPr>
        <w:spacing w:after="90" w:line="268"/>
      </w:pPr>
      <w:r>
        <w:t xml:space="preserve">Every item in the PS's “Expected Solution/Deliverables” list has a corresponding, working artifact</w:t>
      </w:r>
    </w:p>
    <w:p>
      <w:pPr>
        <w:pStyle w:val="ListParagraph"/>
        <w:numPr>
          <w:ilvl w:val="0"/>
          <w:numId w:val="3"/>
        </w:numPr>
        <w:spacing w:after="90" w:line="268"/>
      </w:pPr>
      <w:r>
        <w:t xml:space="preserve">A person outside the team can stand up the full stack from the README with no undocumented manual steps</w:t>
      </w:r>
    </w:p>
    <w:p>
      <w:pPr>
        <w:spacing w:after="40" w:before="100"/>
      </w:pPr>
      <w:r>
        <w:rPr>
          <w:b/>
          <w:bCs/>
          <w:color w:val="C0392B"/>
        </w:rPr>
        <w:t xml:space="preserve">Key risk &amp; mitigation</w:t>
      </w:r>
    </w:p>
    <w:p>
      <w:pPr>
        <w:pStyle w:val="ListParagraph"/>
        <w:numPr>
          <w:ilvl w:val="0"/>
          <w:numId w:val="3"/>
        </w:numPr>
        <w:spacing w:after="90" w:line="268"/>
      </w:pPr>
      <w:r>
        <w:t xml:space="preserve">Documentation is the first thing to get cut under time pressure — mitigate by writing it incrementally at the end of every phase (already reflected in the day-plans above) rather than deferring it entirely to this phase.</w:t>
      </w:r>
    </w:p>
    <w:p>
      <w:pPr>
        <w:pStyle w:val="Heading2"/>
        <w:spacing w:after="120" w:before="240"/>
      </w:pPr>
      <w:r>
        <w:t xml:space="preserve">Phase 8: Hardening, Rehearsal &amp; Grand-Finale Readiness</w:t>
      </w:r>
    </w:p>
    <w:p>
      <w:pPr>
        <w:spacing w:after="120"/>
      </w:pPr>
      <w:r>
        <w:rPr>
          <w:b/>
          <w:bCs/>
          <w:color w:val="1F3864"/>
        </w:rPr>
        <w:t xml:space="preserve">Duration: </w:t>
      </w:r>
      <w:r>
        <w:t xml:space="preserve">Final week (Days 64–70)   |   </w:t>
      </w:r>
      <w:r>
        <w:rPr>
          <w:b/>
          <w:bCs/>
          <w:color w:val="1F3864"/>
        </w:rPr>
        <w:t xml:space="preserve">Objective: </w:t>
      </w:r>
      <w:r>
        <w:rPr>
          <w:i/>
          <w:iCs/>
        </w:rPr>
        <w:t xml:space="preserve">De-risk the live demo and make the system resilient to jury unpredictability.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2100"/>
      </w:tblGrid>
      <w:tr>
        <w:trPr>
          <w:tblHeader/>
        </w:trPr>
        <w:tc>
          <w:tcPr>
            <w:tcW w:type="dxa" w:w="1300"/>
            <w:shd w:fill="1F3864" w:color="auto" w:val="clear"/>
            <w:tcMar>
              <w:top w:type="dxa" w:w="80"/>
              <w:left w:type="dxa" w:w="110"/>
              <w:bottom w:type="dxa" w:w="80"/>
              <w:right w:type="dxa" w:w="110"/>
            </w:tcMar>
            <w:vAlign w:val="center"/>
          </w:tcPr>
          <w:p>
            <w:pPr>
              <w:jc w:val="left"/>
            </w:pPr>
            <w:r>
              <w:rPr>
                <w:b/>
                <w:bCs/>
                <w:color w:val="FFFFFF"/>
                <w:sz w:val="20"/>
                <w:szCs w:val="20"/>
              </w:rPr>
              <w:t xml:space="preserve">Days</w:t>
            </w:r>
          </w:p>
        </w:tc>
        <w:tc>
          <w:tcPr>
            <w:tcW w:type="dxa" w:w="6600"/>
            <w:shd w:fill="1F3864" w:color="auto" w:val="clear"/>
            <w:tcMar>
              <w:top w:type="dxa" w:w="80"/>
              <w:left w:type="dxa" w:w="110"/>
              <w:bottom w:type="dxa" w:w="80"/>
              <w:right w:type="dxa" w:w="110"/>
            </w:tcMar>
            <w:vAlign w:val="center"/>
          </w:tcPr>
          <w:p>
            <w:pPr>
              <w:jc w:val="left"/>
            </w:pPr>
            <w:r>
              <w:rPr>
                <w:b/>
                <w:bCs/>
                <w:color w:val="FFFFFF"/>
                <w:sz w:val="20"/>
                <w:szCs w:val="20"/>
              </w:rPr>
              <w:t xml:space="preserve">Tasks</w:t>
            </w:r>
          </w:p>
        </w:tc>
        <w:tc>
          <w:tcPr>
            <w:tcW w:type="dxa" w:w="2100"/>
            <w:shd w:fill="1F3864" w:color="auto" w:val="clear"/>
            <w:tcMar>
              <w:top w:type="dxa" w:w="80"/>
              <w:left w:type="dxa" w:w="110"/>
              <w:bottom w:type="dxa" w:w="80"/>
              <w:right w:type="dxa" w:w="110"/>
            </w:tcMar>
            <w:vAlign w:val="center"/>
          </w:tcPr>
          <w:p>
            <w:pPr>
              <w:jc w:val="left"/>
            </w:pPr>
            <w:r>
              <w:rPr>
                <w:b/>
                <w:bCs/>
                <w:color w:val="FFFFFF"/>
                <w:sz w:val="20"/>
                <w:szCs w:val="20"/>
              </w:rPr>
              <w:t xml:space="preserve">Owner</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64–65</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Cross-implementation validation run across strongSwan/Libreswan/native-OS one final time</w:t>
            </w:r>
          </w:p>
          <w:p>
            <w:pPr>
              <w:pStyle w:val="ListParagraph"/>
              <w:numPr>
                <w:ilvl w:val="0"/>
                <w:numId w:val="3"/>
              </w:numPr>
              <w:spacing w:after="0"/>
            </w:pPr>
            <w:r>
              <w:rPr>
                <w:sz w:val="20"/>
                <w:szCs w:val="20"/>
              </w:rPr>
              <w:t xml:space="preserve">Load-test the dashboard and live-mode pipeline under a rapid-fire jury-style Q&amp;A pace</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Network &amp; Testbed Engineer, Backend Engineer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65–67</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Build and rehearse a fallback path for every live-demo component (pre-recorded backup clip, offline pcap replay, cached scores) in case of venue network issues</w:t>
            </w:r>
          </w:p>
          <w:p>
            <w:pPr>
              <w:pStyle w:val="ListParagraph"/>
              <w:numPr>
                <w:ilvl w:val="0"/>
                <w:numId w:val="3"/>
              </w:numPr>
              <w:spacing w:after="0"/>
            </w:pPr>
            <w:r>
              <w:rPr>
                <w:sz w:val="20"/>
                <w:szCs w:val="20"/>
              </w:rPr>
              <w:t xml:space="preserve">Rehearse the full demo script end-to-end at least three times with timing</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 all members</w:t>
            </w:r>
          </w:p>
        </w:tc>
      </w:tr>
      <w:tr>
        <w:tc>
          <w:tcPr>
            <w:tcW w:type="dxa" w:w="1300"/>
            <w:shd w:fill="FFFFFF" w:color="auto" w:val="clear"/>
            <w:tcMar>
              <w:top w:type="dxa" w:w="80"/>
              <w:left w:type="dxa" w:w="110"/>
              <w:bottom w:type="dxa" w:w="80"/>
              <w:right w:type="dxa" w:w="110"/>
            </w:tcMar>
            <w:vAlign w:val="center"/>
          </w:tcPr>
          <w:p>
            <w:pPr>
              <w:jc w:val="left"/>
            </w:pPr>
            <w:r>
              <w:rPr>
                <w:b/>
                <w:bCs/>
                <w:color w:val="000000"/>
                <w:sz w:val="20"/>
                <w:szCs w:val="20"/>
              </w:rPr>
              <w:t xml:space="preserve">Day 67–69</w:t>
            </w:r>
          </w:p>
        </w:tc>
        <w:tc>
          <w:tcPr>
            <w:tcW w:type="dxa" w:w="6600"/>
            <w:shd w:fill="FFFFFF"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Prepare answers for anticipated jury probes: “why is this not just Wireshark,” “how do you know the classifier generalises,” “what happens if PQC guidance changes”</w:t>
            </w:r>
          </w:p>
          <w:p>
            <w:pPr>
              <w:pStyle w:val="ListParagraph"/>
              <w:numPr>
                <w:ilvl w:val="0"/>
                <w:numId w:val="3"/>
              </w:numPr>
              <w:spacing w:after="0"/>
            </w:pPr>
            <w:r>
              <w:rPr>
                <w:sz w:val="20"/>
                <w:szCs w:val="20"/>
              </w:rPr>
              <w:t xml:space="preserve">Final polish pass on dashboard visuals and report formatting only — no new features</w:t>
            </w:r>
          </w:p>
        </w:tc>
        <w:tc>
          <w:tcPr>
            <w:tcW w:type="dxa" w:w="2100"/>
            <w:shd w:fill="FFFFFF"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 Security/Compliance Researcher</w:t>
            </w:r>
          </w:p>
        </w:tc>
      </w:tr>
      <w:tr>
        <w:tc>
          <w:tcPr>
            <w:tcW w:type="dxa" w:w="1300"/>
            <w:shd w:fill="EAF1F8" w:color="auto" w:val="clear"/>
            <w:tcMar>
              <w:top w:type="dxa" w:w="80"/>
              <w:left w:type="dxa" w:w="110"/>
              <w:bottom w:type="dxa" w:w="80"/>
              <w:right w:type="dxa" w:w="110"/>
            </w:tcMar>
            <w:vAlign w:val="center"/>
          </w:tcPr>
          <w:p>
            <w:pPr>
              <w:jc w:val="left"/>
            </w:pPr>
            <w:r>
              <w:rPr>
                <w:b/>
                <w:bCs/>
                <w:color w:val="000000"/>
                <w:sz w:val="20"/>
                <w:szCs w:val="20"/>
              </w:rPr>
              <w:t xml:space="preserve">Day 69–70</w:t>
            </w:r>
          </w:p>
        </w:tc>
        <w:tc>
          <w:tcPr>
            <w:tcW w:type="dxa" w:w="6600"/>
            <w:shd w:fill="EAF1F8" w:color="auto" w:val="clear"/>
            <w:tcMar>
              <w:top w:type="dxa" w:w="80"/>
              <w:left w:type="dxa" w:w="110"/>
              <w:bottom w:type="dxa" w:w="80"/>
              <w:right w:type="dxa" w:w="110"/>
            </w:tcMar>
            <w:vAlign w:val="center"/>
          </w:tcPr>
          <w:p>
            <w:pPr>
              <w:pStyle w:val="ListParagraph"/>
              <w:numPr>
                <w:ilvl w:val="0"/>
                <w:numId w:val="3"/>
              </w:numPr>
              <w:spacing w:after="60"/>
            </w:pPr>
            <w:r>
              <w:rPr>
                <w:sz w:val="20"/>
                <w:szCs w:val="20"/>
              </w:rPr>
              <w:t xml:space="preserve">Freeze the codebase; tag the grand-finale release</w:t>
            </w:r>
          </w:p>
          <w:p>
            <w:pPr>
              <w:pStyle w:val="ListParagraph"/>
              <w:numPr>
                <w:ilvl w:val="0"/>
                <w:numId w:val="3"/>
              </w:numPr>
              <w:spacing w:after="0"/>
            </w:pPr>
            <w:r>
              <w:rPr>
                <w:sz w:val="20"/>
                <w:szCs w:val="20"/>
              </w:rPr>
              <w:t xml:space="preserve">Final rehearsal with mentors acting as a hostile/skeptical jury</w:t>
            </w:r>
          </w:p>
        </w:tc>
        <w:tc>
          <w:tcPr>
            <w:tcW w:type="dxa" w:w="2100"/>
            <w:shd w:fill="EAF1F8" w:color="auto" w:val="clear"/>
            <w:tcMar>
              <w:top w:type="dxa" w:w="80"/>
              <w:left w:type="dxa" w:w="110"/>
              <w:bottom w:type="dxa" w:w="80"/>
              <w:right w:type="dxa" w:w="110"/>
            </w:tcMar>
            <w:vAlign w:val="center"/>
          </w:tcPr>
          <w:p>
            <w:pPr>
              <w:jc w:val="left"/>
            </w:pPr>
            <w:r>
              <w:rPr>
                <w:b w:val="false"/>
                <w:bCs w:val="false"/>
                <w:color w:val="000000"/>
                <w:sz w:val="19"/>
                <w:szCs w:val="19"/>
              </w:rPr>
              <w:t xml:space="preserve">Team Lead</w:t>
            </w:r>
          </w:p>
        </w:tc>
      </w:tr>
    </w:tbl>
    <w:p>
      <w:pPr>
        <w:spacing w:after="40" w:before="140"/>
      </w:pPr>
      <w:r>
        <w:rPr>
          <w:b/>
          <w:bCs/>
          <w:color w:val="0E7C7B"/>
        </w:rPr>
        <w:t xml:space="preserve">Deliverables at end of phase</w:t>
      </w:r>
    </w:p>
    <w:p>
      <w:pPr>
        <w:pStyle w:val="ListParagraph"/>
        <w:numPr>
          <w:ilvl w:val="0"/>
          <w:numId w:val="3"/>
        </w:numPr>
        <w:spacing w:after="90" w:line="268"/>
      </w:pPr>
      <w:r>
        <w:t xml:space="preserve">Rehearsed, timed demo script with fallback paths for every live component</w:t>
      </w:r>
    </w:p>
    <w:p>
      <w:pPr>
        <w:pStyle w:val="ListParagraph"/>
        <w:numPr>
          <w:ilvl w:val="0"/>
          <w:numId w:val="3"/>
        </w:numPr>
        <w:spacing w:after="90" w:line="268"/>
      </w:pPr>
      <w:r>
        <w:t xml:space="preserve">Final validated cross-implementation results and load-test results</w:t>
      </w:r>
    </w:p>
    <w:p>
      <w:pPr>
        <w:pStyle w:val="ListParagraph"/>
        <w:numPr>
          <w:ilvl w:val="0"/>
          <w:numId w:val="3"/>
        </w:numPr>
        <w:spacing w:after="90" w:line="268"/>
      </w:pPr>
      <w:r>
        <w:t xml:space="preserve">Frozen, tagged grand-finale release build</w:t>
      </w:r>
    </w:p>
    <w:p>
      <w:pPr>
        <w:spacing w:after="40" w:before="100"/>
      </w:pPr>
      <w:r>
        <w:rPr>
          <w:b/>
          <w:bCs/>
          <w:color w:val="0E7C7B"/>
        </w:rPr>
        <w:t xml:space="preserve">Exit criteria (Definition of Done)</w:t>
      </w:r>
    </w:p>
    <w:p>
      <w:pPr>
        <w:pStyle w:val="ListParagraph"/>
        <w:numPr>
          <w:ilvl w:val="0"/>
          <w:numId w:val="3"/>
        </w:numPr>
        <w:spacing w:after="90" w:line="268"/>
      </w:pPr>
      <w:r>
        <w:t xml:space="preserve">The team can complete the full demo within the allotted jury time slot, twice in a row, without a facilitator prompt</w:t>
      </w:r>
    </w:p>
    <w:p>
      <w:pPr>
        <w:pStyle w:val="ListParagraph"/>
        <w:numPr>
          <w:ilvl w:val="0"/>
          <w:numId w:val="3"/>
        </w:numPr>
        <w:spacing w:after="90" w:line="268"/>
      </w:pPr>
      <w:r>
        <w:t xml:space="preserve">Every anticipated hard question has a rehearsed, specific answer — not an improvised one</w:t>
      </w:r>
    </w:p>
    <w:p>
      <w:pPr>
        <w:spacing w:after="40" w:before="100"/>
      </w:pPr>
      <w:r>
        <w:rPr>
          <w:b/>
          <w:bCs/>
          <w:color w:val="C0392B"/>
        </w:rPr>
        <w:t xml:space="preserve">Key risk &amp; mitigation</w:t>
      </w:r>
    </w:p>
    <w:p>
      <w:pPr>
        <w:pStyle w:val="ListParagraph"/>
        <w:numPr>
          <w:ilvl w:val="0"/>
          <w:numId w:val="3"/>
        </w:numPr>
        <w:spacing w:after="90" w:line="268"/>
      </w:pPr>
      <w:r>
        <w:t xml:space="preserve">No new features should be attempted in this phase under any circumstance — the single biggest self-inflicted risk at this stage is a last-minute change destabilising a previously working demo.</w:t>
      </w:r>
    </w:p>
    <w:p>
      <w:r>
        <w:br w:type="page"/>
      </w:r>
    </w:p>
    <w:p>
      <w:pPr>
        <w:pStyle w:val="Heading1"/>
        <w:spacing w:after="160" w:before="340"/>
      </w:pPr>
      <w:r>
        <w:t xml:space="preserve">9. Milestone &amp; Gate Reviews (SIH Calendar Alignment)</w:t>
      </w:r>
    </w:p>
    <w:p>
      <w:pPr>
        <w:spacing w:after="140" w:line="276"/>
      </w:pPr>
      <w:r>
        <w:t xml:space="preserve">Indicative gate structure aligning the phase plan to typical SIH software-edition checkpoints (idea submission → internal/institute-level round → grand finale). Adjust exact dates once the official calendar is released.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c>
          <w:tcPr>
            <w:tcW w:type="dxa" w:w="2400"/>
            <w:shd w:fill="1F3864" w:color="auto" w:val="clear"/>
            <w:tcMar>
              <w:top w:type="dxa" w:w="80"/>
              <w:left w:type="dxa" w:w="110"/>
              <w:bottom w:type="dxa" w:w="80"/>
              <w:right w:type="dxa" w:w="110"/>
            </w:tcMar>
            <w:vAlign w:val="center"/>
          </w:tcPr>
          <w:p>
            <w:pPr>
              <w:jc w:val="left"/>
            </w:pPr>
            <w:r>
              <w:rPr>
                <w:b/>
                <w:bCs/>
                <w:color w:val="FFFFFF"/>
                <w:sz w:val="20"/>
                <w:szCs w:val="20"/>
              </w:rPr>
              <w:t xml:space="preserve">Gate</w:t>
            </w:r>
          </w:p>
        </w:tc>
        <w:tc>
          <w:tcPr>
            <w:tcW w:type="dxa" w:w="2400"/>
            <w:shd w:fill="1F3864" w:color="auto" w:val="clear"/>
            <w:tcMar>
              <w:top w:type="dxa" w:w="80"/>
              <w:left w:type="dxa" w:w="110"/>
              <w:bottom w:type="dxa" w:w="80"/>
              <w:right w:type="dxa" w:w="110"/>
            </w:tcMar>
            <w:vAlign w:val="center"/>
          </w:tcPr>
          <w:p>
            <w:pPr>
              <w:jc w:val="left"/>
            </w:pPr>
            <w:r>
              <w:rPr>
                <w:b/>
                <w:bCs/>
                <w:color w:val="FFFFFF"/>
                <w:sz w:val="20"/>
                <w:szCs w:val="20"/>
              </w:rPr>
              <w:t xml:space="preserve">Aligned Phase</w:t>
            </w:r>
          </w:p>
        </w:tc>
        <w:tc>
          <w:tcPr>
            <w:tcW w:type="dxa" w:w="4700"/>
            <w:shd w:fill="1F3864" w:color="auto" w:val="clear"/>
            <w:tcMar>
              <w:top w:type="dxa" w:w="80"/>
              <w:left w:type="dxa" w:w="110"/>
              <w:bottom w:type="dxa" w:w="80"/>
              <w:right w:type="dxa" w:w="110"/>
            </w:tcMar>
            <w:vAlign w:val="center"/>
          </w:tcPr>
          <w:p>
            <w:pPr>
              <w:jc w:val="left"/>
            </w:pPr>
            <w:r>
              <w:rPr>
                <w:b/>
                <w:bCs/>
                <w:color w:val="FFFFFF"/>
                <w:sz w:val="20"/>
                <w:szCs w:val="20"/>
              </w:rPr>
              <w:t xml:space="preserve">Go/No-Go Criteria</w:t>
            </w:r>
          </w:p>
        </w:tc>
      </w:tr>
      <w:tr>
        <w:tc>
          <w:tcPr>
            <w:tcW w:type="dxa" w:w="2400"/>
            <w:shd w:fill="FFFFFF" w:color="auto" w:val="clear"/>
            <w:tcMar>
              <w:top w:type="dxa" w:w="80"/>
              <w:left w:type="dxa" w:w="110"/>
              <w:bottom w:type="dxa" w:w="80"/>
              <w:right w:type="dxa" w:w="110"/>
            </w:tcMar>
            <w:vAlign w:val="center"/>
          </w:tcPr>
          <w:p>
            <w:pPr>
              <w:jc w:val="left"/>
            </w:pPr>
            <w:r>
              <w:rPr>
                <w:b/>
                <w:bCs/>
                <w:color w:val="000000"/>
                <w:sz w:val="20"/>
                <w:szCs w:val="20"/>
              </w:rPr>
              <w:t xml:space="preserve">Idea/PPT Submission</w:t>
            </w:r>
          </w:p>
        </w:tc>
        <w:tc>
          <w:tcPr>
            <w:tcW w:type="dxa" w:w="2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Before Phase 1</w:t>
            </w:r>
          </w:p>
        </w:tc>
        <w:tc>
          <w:tcPr>
            <w:tcW w:type="dxa" w:w="47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Architecture, wow-feature list and research grounding (Sections 2–6) are complete and internally reviewed</w:t>
            </w:r>
          </w:p>
        </w:tc>
      </w:tr>
      <w:tr>
        <w:tc>
          <w:tcPr>
            <w:tcW w:type="dxa" w:w="2400"/>
            <w:shd w:fill="EAF1F8" w:color="auto" w:val="clear"/>
            <w:tcMar>
              <w:top w:type="dxa" w:w="80"/>
              <w:left w:type="dxa" w:w="110"/>
              <w:bottom w:type="dxa" w:w="80"/>
              <w:right w:type="dxa" w:w="110"/>
            </w:tcMar>
            <w:vAlign w:val="center"/>
          </w:tcPr>
          <w:p>
            <w:pPr>
              <w:jc w:val="left"/>
            </w:pPr>
            <w:r>
              <w:rPr>
                <w:b/>
                <w:bCs/>
                <w:color w:val="000000"/>
                <w:sz w:val="20"/>
                <w:szCs w:val="20"/>
              </w:rPr>
              <w:t xml:space="preserve">Internal Prototype Checkpoint</w:t>
            </w:r>
          </w:p>
        </w:tc>
        <w:tc>
          <w:tcPr>
            <w:tcW w:type="dxa" w:w="24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End of Phase 4</w:t>
            </w:r>
          </w:p>
        </w:tc>
        <w:tc>
          <w:tcPr>
            <w:tcW w:type="dxa" w:w="4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End-to-end pipeline (capture → parse → classify → score → dashboard) runs live on at least one configuration</w:t>
            </w:r>
          </w:p>
        </w:tc>
      </w:tr>
      <w:tr>
        <w:tc>
          <w:tcPr>
            <w:tcW w:type="dxa" w:w="2400"/>
            <w:shd w:fill="FFFFFF" w:color="auto" w:val="clear"/>
            <w:tcMar>
              <w:top w:type="dxa" w:w="80"/>
              <w:left w:type="dxa" w:w="110"/>
              <w:bottom w:type="dxa" w:w="80"/>
              <w:right w:type="dxa" w:w="110"/>
            </w:tcMar>
            <w:vAlign w:val="center"/>
          </w:tcPr>
          <w:p>
            <w:pPr>
              <w:jc w:val="left"/>
            </w:pPr>
            <w:r>
              <w:rPr>
                <w:b/>
                <w:bCs/>
                <w:color w:val="000000"/>
                <w:sz w:val="20"/>
                <w:szCs w:val="20"/>
              </w:rPr>
              <w:t xml:space="preserve">Institute/Internal Hackathon Round</w:t>
            </w:r>
          </w:p>
        </w:tc>
        <w:tc>
          <w:tcPr>
            <w:tcW w:type="dxa" w:w="2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End of Phase 5</w:t>
            </w:r>
          </w:p>
        </w:tc>
        <w:tc>
          <w:tcPr>
            <w:tcW w:type="dxa" w:w="47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Tier-1 wow features (sandbox, simulator, PQC index) are demo-ready; classifier accuracy ≥90% cross-implementation</w:t>
            </w:r>
          </w:p>
        </w:tc>
      </w:tr>
      <w:tr>
        <w:tc>
          <w:tcPr>
            <w:tcW w:type="dxa" w:w="2400"/>
            <w:shd w:fill="EAF1F8" w:color="auto" w:val="clear"/>
            <w:tcMar>
              <w:top w:type="dxa" w:w="80"/>
              <w:left w:type="dxa" w:w="110"/>
              <w:bottom w:type="dxa" w:w="80"/>
              <w:right w:type="dxa" w:w="110"/>
            </w:tcMar>
            <w:vAlign w:val="center"/>
          </w:tcPr>
          <w:p>
            <w:pPr>
              <w:jc w:val="left"/>
            </w:pPr>
            <w:r>
              <w:rPr>
                <w:b/>
                <w:bCs/>
                <w:color w:val="000000"/>
                <w:sz w:val="20"/>
                <w:szCs w:val="20"/>
              </w:rPr>
              <w:t xml:space="preserve">Pre-Finale Freeze</w:t>
            </w:r>
          </w:p>
        </w:tc>
        <w:tc>
          <w:tcPr>
            <w:tcW w:type="dxa" w:w="24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End of Phase 7</w:t>
            </w:r>
          </w:p>
        </w:tc>
        <w:tc>
          <w:tcPr>
            <w:tcW w:type="dxa" w:w="47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All PS-required deliverables exist as working artifacts; documentation and dataset are published</w:t>
            </w:r>
          </w:p>
        </w:tc>
      </w:tr>
      <w:tr>
        <w:tc>
          <w:tcPr>
            <w:tcW w:type="dxa" w:w="2400"/>
            <w:shd w:fill="FFFFFF" w:color="auto" w:val="clear"/>
            <w:tcMar>
              <w:top w:type="dxa" w:w="80"/>
              <w:left w:type="dxa" w:w="110"/>
              <w:bottom w:type="dxa" w:w="80"/>
              <w:right w:type="dxa" w:w="110"/>
            </w:tcMar>
            <w:vAlign w:val="center"/>
          </w:tcPr>
          <w:p>
            <w:pPr>
              <w:jc w:val="left"/>
            </w:pPr>
            <w:r>
              <w:rPr>
                <w:b/>
                <w:bCs/>
                <w:color w:val="000000"/>
                <w:sz w:val="20"/>
                <w:szCs w:val="20"/>
              </w:rPr>
              <w:t xml:space="preserve">Grand Finale</w:t>
            </w:r>
          </w:p>
        </w:tc>
        <w:tc>
          <w:tcPr>
            <w:tcW w:type="dxa" w:w="2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End of Phase 8</w:t>
            </w:r>
          </w:p>
        </w:tc>
        <w:tc>
          <w:tcPr>
            <w:tcW w:type="dxa" w:w="47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Rehearsed demo completes twice without facilitator prompts; fallback paths tested for venue network issues</w:t>
            </w:r>
          </w:p>
        </w:tc>
      </w:tr>
    </w:tbl>
    <w:p>
      <w:pPr>
        <w:pStyle w:val="Heading1"/>
        <w:spacing w:after="160" w:before="340"/>
      </w:pPr>
      <w:r>
        <w:t xml:space="preserve">10. Deliverables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1F3864" w:color="auto" w:val="clear"/>
            <w:tcMar>
              <w:top w:type="dxa" w:w="80"/>
              <w:left w:type="dxa" w:w="110"/>
              <w:bottom w:type="dxa" w:w="80"/>
              <w:right w:type="dxa" w:w="110"/>
            </w:tcMar>
            <w:vAlign w:val="center"/>
          </w:tcPr>
          <w:p>
            <w:pPr>
              <w:jc w:val="left"/>
            </w:pPr>
            <w:r>
              <w:rPr>
                <w:b/>
                <w:bCs/>
                <w:color w:val="FFFFFF"/>
                <w:sz w:val="20"/>
                <w:szCs w:val="20"/>
              </w:rPr>
              <w:t xml:space="preserve">PS-required deliverable</w:t>
            </w:r>
          </w:p>
        </w:tc>
        <w:tc>
          <w:tcPr>
            <w:tcW w:type="dxa" w:w="5000"/>
            <w:shd w:fill="1F3864" w:color="auto" w:val="clear"/>
            <w:tcMar>
              <w:top w:type="dxa" w:w="80"/>
              <w:left w:type="dxa" w:w="110"/>
              <w:bottom w:type="dxa" w:w="80"/>
              <w:right w:type="dxa" w:w="110"/>
            </w:tcMar>
            <w:vAlign w:val="center"/>
          </w:tcPr>
          <w:p>
            <w:pPr>
              <w:jc w:val="left"/>
            </w:pPr>
            <w:r>
              <w:rPr>
                <w:b/>
                <w:bCs/>
                <w:color w:val="FFFFFF"/>
                <w:sz w:val="20"/>
                <w:szCs w:val="20"/>
              </w:rPr>
              <w:t xml:space="preserve">Covered by</w:t>
            </w:r>
          </w:p>
        </w:tc>
      </w:tr>
      <w:tr>
        <w:tc>
          <w:tcPr>
            <w:tcW w:type="dxa" w:w="4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Working software prototype</w:t>
            </w:r>
          </w:p>
        </w:tc>
        <w:tc>
          <w:tcPr>
            <w:tcW w:type="dxa" w:w="50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Full Docker-Compose stack: testbed + backend + dashboard (Phase 1–4, frozen in Phase 7)</w:t>
            </w:r>
          </w:p>
        </w:tc>
      </w:tr>
      <w:tr>
        <w:tc>
          <w:tcPr>
            <w:tcW w:type="dxa" w:w="4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AI classification engine</w:t>
            </w:r>
          </w:p>
        </w:tc>
        <w:tc>
          <w:tcPr>
            <w:tcW w:type="dxa" w:w="50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IKE parser + ESP flow classifier (§5.1–5.2, Phase 2–3) with XAI layer and robustness score</w:t>
            </w:r>
          </w:p>
        </w:tc>
      </w:tr>
      <w:tr>
        <w:tc>
          <w:tcPr>
            <w:tcW w:type="dxa" w:w="4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Interactive dashboard</w:t>
            </w:r>
          </w:p>
        </w:tc>
        <w:tc>
          <w:tcPr>
            <w:tcW w:type="dxa" w:w="50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React/Next.js live posture score, threat matrix, confidence view (Phase 4), copilot and feedback queue (Phase 6)</w:t>
            </w:r>
          </w:p>
        </w:tc>
      </w:tr>
      <w:tr>
        <w:tc>
          <w:tcPr>
            <w:tcW w:type="dxa" w:w="4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Security assessment report</w:t>
            </w:r>
          </w:p>
        </w:tc>
        <w:tc>
          <w:tcPr>
            <w:tcW w:type="dxa" w:w="50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Auto-generated executive + technical two-tier reports (Phase 5–7), hash-anchored for integrity (Phase 6)</w:t>
            </w:r>
          </w:p>
        </w:tc>
      </w:tr>
      <w:tr>
        <w:tc>
          <w:tcPr>
            <w:tcW w:type="dxa" w:w="4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Demonstration video</w:t>
            </w:r>
          </w:p>
        </w:tc>
        <w:tc>
          <w:tcPr>
            <w:tcW w:type="dxa" w:w="50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Scripted around the attack-replay sandbox's live score drop for maximum visual impact (Phase 7)</w:t>
            </w:r>
          </w:p>
        </w:tc>
      </w:tr>
      <w:tr>
        <w:tc>
          <w:tcPr>
            <w:tcW w:type="dxa" w:w="4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Technical documentation</w:t>
            </w:r>
          </w:p>
        </w:tc>
        <w:tc>
          <w:tcPr>
            <w:tcW w:type="dxa" w:w="50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Architecture doc (this document) + API/spec docs generated alongside the build (all phases, finalised Phase 7)</w:t>
            </w:r>
          </w:p>
        </w:tc>
      </w:tr>
      <w:tr>
        <w:tc>
          <w:tcPr>
            <w:tcW w:type="dxa" w:w="4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Dataset used for training/testing</w:t>
            </w:r>
          </w:p>
        </w:tc>
        <w:tc>
          <w:tcPr>
            <w:tcW w:type="dxa" w:w="50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Packaged, labeled multi-config IPsec capture dataset, released openly (Phase 2, packaged Phase 7)</w:t>
            </w:r>
          </w:p>
        </w:tc>
      </w:tr>
      <w:tr>
        <w:tc>
          <w:tcPr>
            <w:tcW w:type="dxa" w:w="4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(Beyond PS ask) SOC-ready integration</w:t>
            </w:r>
          </w:p>
        </w:tc>
        <w:tc>
          <w:tcPr>
            <w:tcW w:type="dxa" w:w="50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SIEM/CEF/Syslog export connector (Phase 6)</w:t>
            </w:r>
          </w:p>
        </w:tc>
      </w:tr>
      <w:tr>
        <w:tc>
          <w:tcPr>
            <w:tcW w:type="dxa" w:w="4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(Beyond PS ask) Tamper-evident evidence</w:t>
            </w:r>
          </w:p>
        </w:tc>
        <w:tc>
          <w:tcPr>
            <w:tcW w:type="dxa" w:w="50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Blockchain/hash-chain-anchored audit trail (Phase 6)</w:t>
            </w:r>
          </w:p>
        </w:tc>
      </w:tr>
    </w:tbl>
    <w:p>
      <w:pPr>
        <w:pStyle w:val="Heading1"/>
        <w:spacing w:after="160" w:before="340"/>
      </w:pPr>
      <w:r>
        <w:t xml:space="preserve">11. Risk Register (Program-Level)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00"/>
      </w:tblGrid>
      <w:tr>
        <w:tc>
          <w:tcPr>
            <w:tcW w:type="dxa" w:w="2600"/>
            <w:shd w:fill="1F3864" w:color="auto" w:val="clear"/>
            <w:tcMar>
              <w:top w:type="dxa" w:w="80"/>
              <w:left w:type="dxa" w:w="110"/>
              <w:bottom w:type="dxa" w:w="80"/>
              <w:right w:type="dxa" w:w="110"/>
            </w:tcMar>
            <w:vAlign w:val="center"/>
          </w:tcPr>
          <w:p>
            <w:pPr>
              <w:jc w:val="left"/>
            </w:pPr>
            <w:r>
              <w:rPr>
                <w:b/>
                <w:bCs/>
                <w:color w:val="FFFFFF"/>
                <w:sz w:val="20"/>
                <w:szCs w:val="20"/>
              </w:rPr>
              <w:t xml:space="preserve">Risk</w:t>
            </w:r>
          </w:p>
        </w:tc>
        <w:tc>
          <w:tcPr>
            <w:tcW w:type="dxa" w:w="1400"/>
            <w:shd w:fill="1F3864" w:color="auto" w:val="clear"/>
            <w:tcMar>
              <w:top w:type="dxa" w:w="80"/>
              <w:left w:type="dxa" w:w="110"/>
              <w:bottom w:type="dxa" w:w="80"/>
              <w:right w:type="dxa" w:w="110"/>
            </w:tcMar>
            <w:vAlign w:val="center"/>
          </w:tcPr>
          <w:p>
            <w:pPr>
              <w:jc w:val="left"/>
            </w:pPr>
            <w:r>
              <w:rPr>
                <w:b/>
                <w:bCs/>
                <w:color w:val="FFFFFF"/>
                <w:sz w:val="20"/>
                <w:szCs w:val="20"/>
              </w:rPr>
              <w:t xml:space="preserve">Impact</w:t>
            </w:r>
          </w:p>
        </w:tc>
        <w:tc>
          <w:tcPr>
            <w:tcW w:type="dxa" w:w="5500"/>
            <w:shd w:fill="1F3864" w:color="auto" w:val="clear"/>
            <w:tcMar>
              <w:top w:type="dxa" w:w="80"/>
              <w:left w:type="dxa" w:w="110"/>
              <w:bottom w:type="dxa" w:w="80"/>
              <w:right w:type="dxa" w:w="110"/>
            </w:tcMar>
            <w:vAlign w:val="center"/>
          </w:tcPr>
          <w:p>
            <w:pPr>
              <w:jc w:val="left"/>
            </w:pPr>
            <w:r>
              <w:rPr>
                <w:b/>
                <w:bCs/>
                <w:color w:val="FFFFFF"/>
                <w:sz w:val="20"/>
                <w:szCs w:val="20"/>
              </w:rPr>
              <w:t xml:space="preserve">Mitigation</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Classifier overfits to one IPsec implementation</w:t>
            </w:r>
          </w:p>
        </w:tc>
        <w:tc>
          <w:tcPr>
            <w:tcW w:type="dxa" w:w="1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High</w:t>
            </w:r>
          </w:p>
        </w:tc>
        <w:tc>
          <w:tcPr>
            <w:tcW w:type="dxa" w:w="5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Mandatory cross-implementation validation reporting from Phase 3 onward; never present same-implementation-only accuracy</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Attack-replay sandbox slips schedule</w:t>
            </w:r>
          </w:p>
        </w:tc>
        <w:tc>
          <w:tcPr>
            <w:tcW w:type="dxa" w:w="14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High</w:t>
            </w:r>
          </w:p>
        </w:tc>
        <w:tc>
          <w:tcPr>
            <w:tcW w:type="dxa" w:w="5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Build first in Phase 5 (Day 36), sequence lower-priority Tier-2 items around it, keep a static-recording fallback</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Tier-3 add-ons destabilise the core pipeline</w:t>
            </w:r>
          </w:p>
        </w:tc>
        <w:tc>
          <w:tcPr>
            <w:tcW w:type="dxa" w:w="1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Medium</w:t>
            </w:r>
          </w:p>
        </w:tc>
        <w:tc>
          <w:tcPr>
            <w:tcW w:type="dxa" w:w="5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Regression-test after every Tier-3 integration (Phase 6, Day 55–56); ship a de-scoped Tier-3 subset if needed rather than a broken full set</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Venue network/hardware failure during live demo</w:t>
            </w:r>
          </w:p>
        </w:tc>
        <w:tc>
          <w:tcPr>
            <w:tcW w:type="dxa" w:w="14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High</w:t>
            </w:r>
          </w:p>
        </w:tc>
        <w:tc>
          <w:tcPr>
            <w:tcW w:type="dxa" w:w="5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Rehearsed fallback paths for every live component (pre-recorded clips, offline pcap replay, cached scores) built in Phase 8</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IPv6 or native-OS edge cases under-tested</w:t>
            </w:r>
          </w:p>
        </w:tc>
        <w:tc>
          <w:tcPr>
            <w:tcW w:type="dxa" w:w="1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Medium</w:t>
            </w:r>
          </w:p>
        </w:tc>
        <w:tc>
          <w:tcPr>
            <w:tcW w:type="dxa" w:w="5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Explicit IPv6-only and native-OS-only validation passes in Phase 2–3, not folded silently into IPv4/strongSwan passes</w:t>
            </w:r>
          </w:p>
        </w:tc>
      </w:tr>
      <w:tr>
        <w:tc>
          <w:tcPr>
            <w:tcW w:type="dxa" w:w="2600"/>
            <w:shd w:fill="EAF1F8" w:color="auto" w:val="clear"/>
            <w:tcMar>
              <w:top w:type="dxa" w:w="80"/>
              <w:left w:type="dxa" w:w="110"/>
              <w:bottom w:type="dxa" w:w="80"/>
              <w:right w:type="dxa" w:w="110"/>
            </w:tcMar>
            <w:vAlign w:val="center"/>
          </w:tcPr>
          <w:p>
            <w:pPr>
              <w:jc w:val="left"/>
            </w:pPr>
            <w:r>
              <w:rPr>
                <w:b/>
                <w:bCs/>
                <w:color w:val="000000"/>
                <w:sz w:val="20"/>
                <w:szCs w:val="20"/>
              </w:rPr>
              <w:t xml:space="preserve">Copilot hallucinates unsupported claims</w:t>
            </w:r>
          </w:p>
        </w:tc>
        <w:tc>
          <w:tcPr>
            <w:tcW w:type="dxa" w:w="14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Medium</w:t>
            </w:r>
          </w:p>
        </w:tc>
        <w:tc>
          <w:tcPr>
            <w:tcW w:type="dxa" w:w="5500"/>
            <w:shd w:fill="EAF1F8" w:color="auto" w:val="clear"/>
            <w:tcMar>
              <w:top w:type="dxa" w:w="80"/>
              <w:left w:type="dxa" w:w="110"/>
              <w:bottom w:type="dxa" w:w="80"/>
              <w:right w:type="dxa" w:w="110"/>
            </w:tcMar>
            <w:vAlign w:val="center"/>
          </w:tcPr>
          <w:p>
            <w:pPr>
              <w:jc w:val="left"/>
            </w:pPr>
            <w:r>
              <w:rPr>
                <w:b w:val="false"/>
                <w:bCs w:val="false"/>
                <w:color w:val="000000"/>
                <w:sz w:val="20"/>
                <w:szCs w:val="20"/>
              </w:rPr>
              <w:t xml:space="preserve">Constrain the copilot strictly to retrieval over the report/evidence store; no free-form generation without a citation</w:t>
            </w:r>
          </w:p>
        </w:tc>
      </w:tr>
      <w:tr>
        <w:tc>
          <w:tcPr>
            <w:tcW w:type="dxa" w:w="2600"/>
            <w:shd w:fill="FFFFFF" w:color="auto" w:val="clear"/>
            <w:tcMar>
              <w:top w:type="dxa" w:w="80"/>
              <w:left w:type="dxa" w:w="110"/>
              <w:bottom w:type="dxa" w:w="80"/>
              <w:right w:type="dxa" w:w="110"/>
            </w:tcMar>
            <w:vAlign w:val="center"/>
          </w:tcPr>
          <w:p>
            <w:pPr>
              <w:jc w:val="left"/>
            </w:pPr>
            <w:r>
              <w:rPr>
                <w:b/>
                <w:bCs/>
                <w:color w:val="000000"/>
                <w:sz w:val="20"/>
                <w:szCs w:val="20"/>
              </w:rPr>
              <w:t xml:space="preserve">Documentation deferred and rushed at the end</w:t>
            </w:r>
          </w:p>
        </w:tc>
        <w:tc>
          <w:tcPr>
            <w:tcW w:type="dxa" w:w="14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Medium</w:t>
            </w:r>
          </w:p>
        </w:tc>
        <w:tc>
          <w:tcPr>
            <w:tcW w:type="dxa" w:w="5500"/>
            <w:shd w:fill="FFFFFF" w:color="auto" w:val="clear"/>
            <w:tcMar>
              <w:top w:type="dxa" w:w="80"/>
              <w:left w:type="dxa" w:w="110"/>
              <w:bottom w:type="dxa" w:w="80"/>
              <w:right w:type="dxa" w:w="110"/>
            </w:tcMar>
            <w:vAlign w:val="center"/>
          </w:tcPr>
          <w:p>
            <w:pPr>
              <w:jc w:val="left"/>
            </w:pPr>
            <w:r>
              <w:rPr>
                <w:b w:val="false"/>
                <w:bCs w:val="false"/>
                <w:color w:val="000000"/>
                <w:sz w:val="20"/>
                <w:szCs w:val="20"/>
              </w:rPr>
              <w:t xml:space="preserve">Incremental documentation written at the close of every phase (built into each phase's task list above)</w:t>
            </w:r>
          </w:p>
        </w:tc>
      </w:tr>
    </w:tbl>
    <w:p>
      <w:pPr>
        <w:pStyle w:val="Heading1"/>
        <w:spacing w:after="160" w:before="340"/>
      </w:pPr>
      <w:r>
        <w:t xml:space="preserve">12. Key References</w:t>
      </w:r>
    </w:p>
    <w:p>
      <w:pPr>
        <w:pStyle w:val="ListParagraph"/>
        <w:numPr>
          <w:ilvl w:val="0"/>
          <w:numId w:val="3"/>
        </w:numPr>
        <w:spacing w:after="90" w:line="268"/>
      </w:pPr>
      <w:r>
        <w:t xml:space="preserve">NIST SP 800-77 Rev. 1, “Guide to IPsec VPNs” — cryptographic and configuration recommendations (csrc.nist.gov).</w:t>
      </w:r>
    </w:p>
    <w:p>
      <w:pPr>
        <w:pStyle w:val="ListParagraph"/>
        <w:numPr>
          <w:ilvl w:val="0"/>
          <w:numId w:val="3"/>
        </w:numPr>
        <w:spacing w:after="90" w:line="268"/>
      </w:pPr>
      <w:r>
        <w:t xml:space="preserve">Published research on ML-based fingerprinting of encrypted traffic types inside IPsec/VPN tunnels using packet size and timing features (IEEE / ACM literature on encrypted traffic classification).</w:t>
      </w:r>
    </w:p>
    <w:p>
      <w:pPr>
        <w:pStyle w:val="ListParagraph"/>
        <w:numPr>
          <w:ilvl w:val="0"/>
          <w:numId w:val="3"/>
        </w:numPr>
        <w:spacing w:after="90" w:line="268"/>
      </w:pPr>
      <w:r>
        <w:t xml:space="preserve">FlowPic / FS-Net style flow-representation approaches for encrypted traffic classification, useful as a stretch-goal model architecture reference.</w:t>
      </w:r>
    </w:p>
    <w:p>
      <w:pPr>
        <w:pStyle w:val="ListParagraph"/>
        <w:numPr>
          <w:ilvl w:val="0"/>
          <w:numId w:val="3"/>
        </w:numPr>
        <w:spacing w:after="90" w:line="268"/>
      </w:pPr>
      <w:r>
        <w:t xml:space="preserve">CNSA 2.0 suite guidance, used alongside NIST SP 800-77 for the post-quantum readiness sub-score.</w:t>
      </w:r>
    </w:p>
    <w:p>
      <w:pPr>
        <w:pStyle w:val="ListParagraph"/>
        <w:numPr>
          <w:ilvl w:val="0"/>
          <w:numId w:val="3"/>
        </w:numPr>
        <w:spacing w:after="90" w:line="268"/>
      </w:pPr>
      <w:r>
        <w:t xml:space="preserve">MITRE ATT&amp;CK framework — technique-ID reference used for the threat-matrix mapping (attack.mitre.org).</w:t>
      </w:r>
    </w:p>
    <w:p>
      <w:pPr>
        <w:pStyle w:val="ListParagraph"/>
        <w:numPr>
          <w:ilvl w:val="0"/>
          <w:numId w:val="3"/>
        </w:numPr>
        <w:spacing w:after="90" w:line="268"/>
      </w:pPr>
      <w:r>
        <w:t xml:space="preserve">Hyperledger Fabric documentation — reference architecture for the optional permissioned-ledger audit-trail implementation.</w:t>
      </w:r>
    </w:p>
    <w:p>
      <w:pPr>
        <w:spacing w:after="140" w:line="276"/>
      </w:pPr>
      <w:r>
        <w:rPr>
          <w:i/>
          <w:iCs/>
          <w:color w:val="595959"/>
        </w:rPr>
        <w:t xml:space="preserve">Prepared as a working planning document — refine timeline, team role assignments, and the exact model architecture once official SIH dates and team composition are finalised.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0E7C7B"/>
      <w:sz w:val="25"/>
      <w:szCs w:val="25"/>
    </w:rPr>
  </w:style>
  <w:style w:type="paragraph" w:styleId="Heading3">
    <w:name w:val="Heading 3"/>
    <w:basedOn w:val="Normal"/>
    <w:next w:val="Normal"/>
    <w:qFormat/>
    <w:pPr>
      <w:spacing w:after="90" w:before="18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2026-08-27T11:03:25.295Z</dcterms:created>
  <dcterms:modified xsi:type="dcterms:W3CDTF">2026-08-27T11:03:25.306Z</dcterms:modified>
</cp:coreProperties>
</file>

<file path=docProps/custom.xml><?xml version="1.0" encoding="utf-8"?>
<Properties xmlns="http://schemas.openxmlformats.org/officeDocument/2006/custom-properties" xmlns:vt="http://schemas.openxmlformats.org/officeDocument/2006/docPropsVTypes"/>
</file>