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StrokeProt AI Project Workflow and Model Guide</w:t>
      </w:r>
    </w:p>
    <w:p>
      <w:pPr>
        <w:spacing w:after="260"/>
      </w:pPr>
      <w:r>
        <w:rPr>
          <w:color w:val="177C78"/>
          <w:sz w:val="24"/>
        </w:rPr>
        <w:t>A beginner-friendly guide to the evidence-curated dataset, sequence model, demo, and next steps</w:t>
      </w:r>
    </w:p>
    <w:p>
      <w:r>
        <w:t>This guide explains what the project currently does, how its protein records and labels were assembled, how the model turns a sequence into a score, and what the evaluation does and does not show. The short conclusion is that the training code and local demo work, but the dataset is too small and its candidate-negative class too uncertain to support a claim that the model is accurate.</w:t>
      </w:r>
    </w:p>
    <w:tbl>
      <w:tblPr>
        <w:tblW w:type="auto" w:w="0"/>
        <w:tblLayout w:type="autofit"/>
        <w:tblLook w:firstColumn="1" w:firstRow="1" w:lastColumn="0" w:lastRow="0" w:noHBand="0" w:noVBand="1" w:val="04A0"/>
      </w:tblPr>
      <w:tblGrid>
        <w:gridCol w:w="10512"/>
      </w:tblGrid>
      <w:tr>
        <w:trPr>
          <w:cantSplit/>
        </w:trPr>
        <w:tc>
          <w:tcPr>
            <w:tcW w:type="dxa" w:w="10512"/>
            <w:shd w:fill="EAF0F7"/>
            <w:tcMar>
              <w:top w:w="150" w:type="dxa"/>
              <w:start w:w="180" w:type="dxa"/>
              <w:bottom w:w="150" w:type="dxa"/>
              <w:end w:w="180" w:type="dxa"/>
            </w:tcMar>
          </w:tcPr>
          <w:p>
            <w:pPr>
              <w:spacing w:after="60"/>
            </w:pPr>
            <w:r>
              <w:rPr>
                <w:b/>
                <w:color w:val="17324D"/>
              </w:rPr>
              <w:t>The question this project asks</w:t>
            </w:r>
          </w:p>
          <w:p>
            <w:pPr>
              <w:spacing w:after="0"/>
            </w:pPr>
            <w:r>
              <w:t>For one human protein sequence, does the protein meet the project's documented definition of being associated with ischemic stroke in primary human research? This is a protein-literature classification task. It does not diagnose a person, predict an individual's stroke, or prove that a protein causes stroke.</w:t>
            </w:r>
          </w:p>
        </w:tc>
      </w:tr>
    </w:tbl>
    <w:p>
      <w:pPr>
        <w:spacing w:after="20"/>
      </w:pPr>
    </w:p>
    <w:p>
      <w:pPr>
        <w:pStyle w:val="Heading1"/>
      </w:pPr>
      <w:r>
        <w:t>Project at a glance</w:t>
      </w:r>
    </w:p>
    <w:tbl>
      <w:tblPr>
        <w:tblStyle w:val="TableGrid"/>
        <w:tblW w:type="auto" w:w="0"/>
        <w:tblLayout w:type="fixed"/>
        <w:tblLook w:firstColumn="1" w:firstRow="1" w:lastColumn="0" w:lastRow="0" w:noHBand="0" w:noVBand="1" w:val="04A0"/>
      </w:tblPr>
      <w:tblGrid>
        <w:gridCol w:w="5256"/>
        <w:gridCol w:w="5256"/>
      </w:tblGrid>
      <w:tr>
        <w:trPr>
          <w:tblHeader w:val="true"/>
        </w:trPr>
        <w:tc>
          <w:tcPr>
            <w:tcW w:type="dxa" w:w="2376"/>
            <w:shd w:fill="17324D"/>
            <w:vAlign w:val="center"/>
            <w:tcMar>
              <w:top w:w="90" w:type="dxa"/>
              <w:start w:w="110" w:type="dxa"/>
              <w:bottom w:w="90" w:type="dxa"/>
              <w:end w:w="110" w:type="dxa"/>
            </w:tcMar>
          </w:tcPr>
          <w:p>
            <w:pPr>
              <w:spacing w:after="0"/>
            </w:pPr>
            <w:r>
              <w:rPr>
                <w:b/>
                <w:color w:val="FFFFFF"/>
                <w:sz w:val="18"/>
              </w:rPr>
              <w:t>Item</w:t>
            </w:r>
          </w:p>
        </w:tc>
        <w:tc>
          <w:tcPr>
            <w:tcW w:type="dxa" w:w="8136"/>
            <w:shd w:fill="17324D"/>
            <w:vAlign w:val="center"/>
            <w:tcMar>
              <w:top w:w="90" w:type="dxa"/>
              <w:start w:w="110" w:type="dxa"/>
              <w:bottom w:w="90" w:type="dxa"/>
              <w:end w:w="110" w:type="dxa"/>
            </w:tcMar>
          </w:tcPr>
          <w:p>
            <w:pPr>
              <w:spacing w:after="0"/>
            </w:pPr>
            <w:r>
              <w:rPr>
                <w:b/>
                <w:color w:val="FFFFFF"/>
                <w:sz w:val="18"/>
              </w:rPr>
              <w:t>Current project state</w:t>
            </w:r>
          </w:p>
        </w:tc>
      </w:tr>
      <w:tr>
        <w:trPr>
          <w:cantSplit/>
        </w:trPr>
        <w:tc>
          <w:tcPr>
            <w:tcW w:type="dxa" w:w="2376"/>
            <w:vAlign w:val="top"/>
            <w:tcMar>
              <w:top w:w="90" w:type="dxa"/>
              <w:start w:w="110" w:type="dxa"/>
              <w:bottom w:w="90" w:type="dxa"/>
              <w:end w:w="110" w:type="dxa"/>
            </w:tcMar>
          </w:tcPr>
          <w:p>
            <w:pPr>
              <w:spacing w:after="0" w:line="250" w:lineRule="auto"/>
            </w:pPr>
            <w:r>
              <w:rPr>
                <w:sz w:val="18"/>
              </w:rPr>
              <w:t>Evidence table</w:t>
            </w:r>
          </w:p>
        </w:tc>
        <w:tc>
          <w:tcPr>
            <w:tcW w:type="dxa" w:w="8136"/>
            <w:vAlign w:val="top"/>
            <w:tcMar>
              <w:top w:w="90" w:type="dxa"/>
              <w:start w:w="110" w:type="dxa"/>
              <w:bottom w:w="90" w:type="dxa"/>
              <w:end w:w="110" w:type="dxa"/>
            </w:tcMar>
          </w:tcPr>
          <w:p>
            <w:pPr>
              <w:spacing w:after="0" w:line="250" w:lineRule="auto"/>
            </w:pPr>
            <w:r>
              <w:rPr>
                <w:sz w:val="18"/>
              </w:rPr>
              <w:t>68 candidate rows: 56 positive, 10 provisional candidate-negative, 2 unresolved.</w:t>
            </w:r>
          </w:p>
        </w:tc>
      </w:tr>
      <w:tr>
        <w:trPr>
          <w:cantSplit/>
        </w:trPr>
        <w:tc>
          <w:tcPr>
            <w:tcW w:type="dxa" w:w="2376"/>
            <w:vAlign w:val="top"/>
            <w:tcMar>
              <w:top w:w="90" w:type="dxa"/>
              <w:start w:w="110" w:type="dxa"/>
              <w:bottom w:w="90" w:type="dxa"/>
              <w:end w:w="110" w:type="dxa"/>
            </w:tcMar>
          </w:tcPr>
          <w:p>
            <w:pPr>
              <w:spacing w:after="0" w:line="250" w:lineRule="auto"/>
            </w:pPr>
            <w:r>
              <w:rPr>
                <w:sz w:val="18"/>
              </w:rPr>
              <w:t>Sequence table</w:t>
            </w:r>
          </w:p>
        </w:tc>
        <w:tc>
          <w:tcPr>
            <w:tcW w:type="dxa" w:w="8136"/>
            <w:vAlign w:val="top"/>
            <w:tcMar>
              <w:top w:w="90" w:type="dxa"/>
              <w:start w:w="110" w:type="dxa"/>
              <w:bottom w:w="90" w:type="dxa"/>
              <w:end w:w="110" w:type="dxa"/>
            </w:tcMar>
          </w:tcPr>
          <w:p>
            <w:pPr>
              <w:spacing w:after="0" w:line="250" w:lineRule="auto"/>
            </w:pPr>
            <w:r>
              <w:rPr>
                <w:sz w:val="18"/>
              </w:rPr>
              <w:t>66 human RefSeq records: 56 positive and 10 candidate-negative; unresolved cases are excluded.</w:t>
            </w:r>
          </w:p>
        </w:tc>
      </w:tr>
      <w:tr>
        <w:trPr>
          <w:cantSplit/>
        </w:trPr>
        <w:tc>
          <w:tcPr>
            <w:tcW w:type="dxa" w:w="2376"/>
            <w:vAlign w:val="top"/>
            <w:tcMar>
              <w:top w:w="90" w:type="dxa"/>
              <w:start w:w="110" w:type="dxa"/>
              <w:bottom w:w="90" w:type="dxa"/>
              <w:end w:w="110" w:type="dxa"/>
            </w:tcMar>
          </w:tcPr>
          <w:p>
            <w:pPr>
              <w:spacing w:after="0" w:line="250" w:lineRule="auto"/>
            </w:pPr>
            <w:r>
              <w:rPr>
                <w:sz w:val="18"/>
              </w:rPr>
              <w:t>Independent sequence groups</w:t>
            </w:r>
          </w:p>
        </w:tc>
        <w:tc>
          <w:tcPr>
            <w:tcW w:type="dxa" w:w="8136"/>
            <w:vAlign w:val="top"/>
            <w:tcMar>
              <w:top w:w="90" w:type="dxa"/>
              <w:start w:w="110" w:type="dxa"/>
              <w:bottom w:w="90" w:type="dxa"/>
              <w:end w:w="110" w:type="dxa"/>
            </w:tcMar>
          </w:tcPr>
          <w:p>
            <w:pPr>
              <w:spacing w:after="0" w:line="250" w:lineRule="auto"/>
            </w:pPr>
            <w:r>
              <w:rPr>
                <w:sz w:val="18"/>
              </w:rPr>
              <w:t>61 total: 51 positive and 10 candidate-negative groups, using the project's documented pairwise-similarity rule.</w:t>
            </w:r>
          </w:p>
        </w:tc>
      </w:tr>
      <w:tr>
        <w:trPr>
          <w:cantSplit/>
        </w:trPr>
        <w:tc>
          <w:tcPr>
            <w:tcW w:type="dxa" w:w="2376"/>
            <w:vAlign w:val="top"/>
            <w:tcMar>
              <w:top w:w="90" w:type="dxa"/>
              <w:start w:w="110" w:type="dxa"/>
              <w:bottom w:w="90" w:type="dxa"/>
              <w:end w:w="110" w:type="dxa"/>
            </w:tcMar>
          </w:tcPr>
          <w:p>
            <w:pPr>
              <w:spacing w:after="0" w:line="250" w:lineRule="auto"/>
            </w:pPr>
            <w:r>
              <w:rPr>
                <w:sz w:val="18"/>
              </w:rPr>
              <w:t>Model</w:t>
            </w:r>
          </w:p>
        </w:tc>
        <w:tc>
          <w:tcPr>
            <w:tcW w:type="dxa" w:w="8136"/>
            <w:vAlign w:val="top"/>
            <w:tcMar>
              <w:top w:w="90" w:type="dxa"/>
              <w:start w:w="110" w:type="dxa"/>
              <w:bottom w:w="90" w:type="dxa"/>
              <w:end w:w="110" w:type="dxa"/>
            </w:tcMar>
          </w:tcPr>
          <w:p>
            <w:pPr>
              <w:spacing w:after="0" w:line="250" w:lineRule="auto"/>
            </w:pPr>
            <w:r>
              <w:rPr>
                <w:sz w:val="18"/>
              </w:rPr>
              <w:t>Frozen ESM-2 t6 8M sequence encoder plus regularized logistic regression.</w:t>
            </w:r>
          </w:p>
        </w:tc>
      </w:tr>
      <w:tr>
        <w:trPr>
          <w:cantSplit/>
        </w:trPr>
        <w:tc>
          <w:tcPr>
            <w:tcW w:type="dxa" w:w="2376"/>
            <w:vAlign w:val="top"/>
            <w:tcMar>
              <w:top w:w="90" w:type="dxa"/>
              <w:start w:w="110" w:type="dxa"/>
              <w:bottom w:w="90" w:type="dxa"/>
              <w:end w:w="110" w:type="dxa"/>
            </w:tcMar>
          </w:tcPr>
          <w:p>
            <w:pPr>
              <w:spacing w:after="0" w:line="250" w:lineRule="auto"/>
            </w:pPr>
            <w:r>
              <w:rPr>
                <w:sz w:val="18"/>
              </w:rPr>
              <w:t>Evaluation</w:t>
            </w:r>
          </w:p>
        </w:tc>
        <w:tc>
          <w:tcPr>
            <w:tcW w:type="dxa" w:w="8136"/>
            <w:vAlign w:val="top"/>
            <w:tcMar>
              <w:top w:w="90" w:type="dxa"/>
              <w:start w:w="110" w:type="dxa"/>
              <w:bottom w:w="90" w:type="dxa"/>
              <w:end w:w="110" w:type="dxa"/>
            </w:tcMar>
          </w:tcPr>
          <w:p>
            <w:pPr>
              <w:spacing w:after="0" w:line="250" w:lineRule="auto"/>
            </w:pPr>
            <w:r>
              <w:rPr>
                <w:sz w:val="18"/>
              </w:rPr>
              <w:t>One sequence-grouped train/validation/test split. Test contains only 9 positive and 2 candidate-negative proteins.</w:t>
            </w:r>
          </w:p>
        </w:tc>
      </w:tr>
      <w:tr>
        <w:trPr>
          <w:cantSplit/>
        </w:trPr>
        <w:tc>
          <w:tcPr>
            <w:tcW w:type="dxa" w:w="2376"/>
            <w:vAlign w:val="top"/>
            <w:tcMar>
              <w:top w:w="90" w:type="dxa"/>
              <w:start w:w="110" w:type="dxa"/>
              <w:bottom w:w="90" w:type="dxa"/>
              <w:end w:w="110" w:type="dxa"/>
            </w:tcMar>
          </w:tcPr>
          <w:p>
            <w:pPr>
              <w:spacing w:after="0" w:line="250" w:lineRule="auto"/>
            </w:pPr>
            <w:r>
              <w:rPr>
                <w:sz w:val="18"/>
              </w:rPr>
              <w:t>Use today</w:t>
            </w:r>
          </w:p>
        </w:tc>
        <w:tc>
          <w:tcPr>
            <w:tcW w:type="dxa" w:w="8136"/>
            <w:vAlign w:val="top"/>
            <w:tcMar>
              <w:top w:w="90" w:type="dxa"/>
              <w:start w:w="110" w:type="dxa"/>
              <w:bottom w:w="90" w:type="dxa"/>
              <w:end w:w="110" w:type="dxa"/>
            </w:tcMar>
          </w:tcPr>
          <w:p>
            <w:pPr>
              <w:spacing w:after="0" w:line="250" w:lineRule="auto"/>
            </w:pPr>
            <w:r>
              <w:rPr>
                <w:sz w:val="18"/>
              </w:rPr>
              <w:t>A local demonstration that returns a model score. It is not a reliable scientific classifier or a medical tool.</w:t>
            </w:r>
          </w:p>
        </w:tc>
      </w:tr>
    </w:tbl>
    <w:p>
      <w:pPr>
        <w:spacing w:after="40"/>
      </w:pPr>
    </w:p>
    <w:tbl>
      <w:tblPr>
        <w:tblW w:type="auto" w:w="0"/>
        <w:tblLayout w:type="autofit"/>
        <w:tblLook w:firstColumn="1" w:firstRow="1" w:lastColumn="0" w:lastRow="0" w:noHBand="0" w:noVBand="1" w:val="04A0"/>
      </w:tblPr>
      <w:tblGrid>
        <w:gridCol w:w="10512"/>
      </w:tblGrid>
      <w:tr>
        <w:trPr>
          <w:cantSplit/>
        </w:trPr>
        <w:tc>
          <w:tcPr>
            <w:tcW w:type="dxa" w:w="10512"/>
            <w:shd w:fill="FFF4DF"/>
            <w:tcMar>
              <w:top w:w="150" w:type="dxa"/>
              <w:start w:w="180" w:type="dxa"/>
              <w:bottom w:w="150" w:type="dxa"/>
              <w:end w:w="180" w:type="dxa"/>
            </w:tcMar>
          </w:tcPr>
          <w:p>
            <w:pPr>
              <w:spacing w:after="60"/>
            </w:pPr>
            <w:r>
              <w:rPr>
                <w:b/>
                <w:color w:val="17324D"/>
              </w:rPr>
              <w:t>Important interpretation</w:t>
            </w:r>
          </w:p>
          <w:p>
            <w:pPr>
              <w:spacing w:after="0"/>
            </w:pPr>
            <w:r>
              <w:t>The model classified both candidate-negative proteins in its test set as positive. Accuracy was 72.7%, but balanced accuracy was 44.4% and ROC-AUC was 0.17. The headline F1 score must not be presented without these facts and the tiny test-set size.</w:t>
            </w:r>
          </w:p>
        </w:tc>
      </w:tr>
    </w:tbl>
    <w:p>
      <w:pPr>
        <w:spacing w:after="20"/>
      </w:pPr>
    </w:p>
    <w:p>
      <w:r>
        <w:t>For a defensible scientific performance claim, treat the present data as dataset not ready for binary training. A model run was completed only to demonstrate the code and interface; the current labels and evaluation sample are too limited for a reliable estimate.</w:t>
      </w:r>
    </w:p>
    <w:p>
      <w:r>
        <w:br w:type="page"/>
      </w:r>
    </w:p>
    <w:p>
      <w:pPr>
        <w:pStyle w:val="Heading1"/>
      </w:pPr>
      <w:r>
        <w:t>1  What does stroke-associated mean here</w:t>
      </w:r>
    </w:p>
    <w:p>
      <w:r>
        <w:t>A protein receives a positive label only when a primary study in people directly connects that protein to ischemic stroke in at least one of three evidence categories. The project keeps the categories separate because they answer different questions.</w:t>
      </w:r>
    </w:p>
    <w:tbl>
      <w:tblPr>
        <w:tblStyle w:val="TableGrid"/>
        <w:tblW w:type="auto" w:w="0"/>
        <w:tblLayout w:type="fixed"/>
        <w:tblLook w:firstColumn="1" w:firstRow="1" w:lastColumn="0" w:lastRow="0" w:noHBand="0" w:noVBand="1" w:val="04A0"/>
      </w:tblPr>
      <w:tblGrid>
        <w:gridCol w:w="3504"/>
        <w:gridCol w:w="3504"/>
        <w:gridCol w:w="3504"/>
      </w:tblGrid>
      <w:tr>
        <w:trPr>
          <w:tblHeader w:val="true"/>
        </w:trPr>
        <w:tc>
          <w:tcPr>
            <w:tcW w:type="dxa" w:w="2232"/>
            <w:shd w:fill="17324D"/>
            <w:vAlign w:val="center"/>
            <w:tcMar>
              <w:top w:w="90" w:type="dxa"/>
              <w:start w:w="110" w:type="dxa"/>
              <w:bottom w:w="90" w:type="dxa"/>
              <w:end w:w="110" w:type="dxa"/>
            </w:tcMar>
          </w:tcPr>
          <w:p>
            <w:pPr>
              <w:spacing w:after="0"/>
            </w:pPr>
            <w:r>
              <w:rPr>
                <w:b/>
                <w:color w:val="FFFFFF"/>
                <w:sz w:val="17"/>
              </w:rPr>
              <w:t>Evidence field</w:t>
            </w:r>
          </w:p>
        </w:tc>
        <w:tc>
          <w:tcPr>
            <w:tcW w:type="dxa" w:w="3960"/>
            <w:shd w:fill="17324D"/>
            <w:vAlign w:val="center"/>
            <w:tcMar>
              <w:top w:w="90" w:type="dxa"/>
              <w:start w:w="110" w:type="dxa"/>
              <w:bottom w:w="90" w:type="dxa"/>
              <w:end w:w="110" w:type="dxa"/>
            </w:tcMar>
          </w:tcPr>
          <w:p>
            <w:pPr>
              <w:spacing w:after="0"/>
            </w:pPr>
            <w:r>
              <w:rPr>
                <w:b/>
                <w:color w:val="FFFFFF"/>
                <w:sz w:val="17"/>
              </w:rPr>
              <w:t>Plain-language meaning</w:t>
            </w:r>
          </w:p>
        </w:tc>
        <w:tc>
          <w:tcPr>
            <w:tcW w:type="dxa" w:w="4320"/>
            <w:shd w:fill="17324D"/>
            <w:vAlign w:val="center"/>
            <w:tcMar>
              <w:top w:w="90" w:type="dxa"/>
              <w:start w:w="110" w:type="dxa"/>
              <w:bottom w:w="90" w:type="dxa"/>
              <w:end w:w="110" w:type="dxa"/>
            </w:tcMar>
          </w:tcPr>
          <w:p>
            <w:pPr>
              <w:spacing w:after="0"/>
            </w:pPr>
            <w:r>
              <w:rPr>
                <w:b/>
                <w:color w:val="FFFFFF"/>
                <w:sz w:val="17"/>
              </w:rPr>
              <w:t>Example of what it supports</w:t>
            </w:r>
          </w:p>
        </w:tc>
      </w:tr>
      <w:tr>
        <w:trPr>
          <w:cantSplit/>
        </w:trPr>
        <w:tc>
          <w:tcPr>
            <w:tcW w:type="dxa" w:w="2232"/>
            <w:vAlign w:val="top"/>
            <w:tcMar>
              <w:top w:w="90" w:type="dxa"/>
              <w:start w:w="110" w:type="dxa"/>
              <w:bottom w:w="90" w:type="dxa"/>
              <w:end w:w="110" w:type="dxa"/>
            </w:tcMar>
          </w:tcPr>
          <w:p>
            <w:pPr>
              <w:spacing w:after="0" w:line="250" w:lineRule="auto"/>
            </w:pPr>
            <w:r>
              <w:rPr>
                <w:sz w:val="17"/>
              </w:rPr>
              <w:t>risk_before_stroke</w:t>
            </w:r>
          </w:p>
        </w:tc>
        <w:tc>
          <w:tcPr>
            <w:tcW w:type="dxa" w:w="3960"/>
            <w:vAlign w:val="top"/>
            <w:tcMar>
              <w:top w:w="90" w:type="dxa"/>
              <w:start w:w="110" w:type="dxa"/>
              <w:bottom w:w="90" w:type="dxa"/>
              <w:end w:w="110" w:type="dxa"/>
            </w:tcMar>
          </w:tcPr>
          <w:p>
            <w:pPr>
              <w:spacing w:after="0" w:line="250" w:lineRule="auto"/>
            </w:pPr>
            <w:r>
              <w:rPr>
                <w:sz w:val="17"/>
              </w:rPr>
              <w:t>The protein was measured before a later ischemic stroke.</w:t>
            </w:r>
          </w:p>
        </w:tc>
        <w:tc>
          <w:tcPr>
            <w:tcW w:type="dxa" w:w="4320"/>
            <w:vAlign w:val="top"/>
            <w:tcMar>
              <w:top w:w="90" w:type="dxa"/>
              <w:start w:w="110" w:type="dxa"/>
              <w:bottom w:w="90" w:type="dxa"/>
              <w:end w:w="110" w:type="dxa"/>
            </w:tcMar>
          </w:tcPr>
          <w:p>
            <w:pPr>
              <w:spacing w:after="0" w:line="250" w:lineRule="auto"/>
            </w:pPr>
            <w:r>
              <w:rPr>
                <w:sz w:val="17"/>
              </w:rPr>
              <w:t>A human association with later stroke occurrence or risk.</w:t>
            </w:r>
          </w:p>
        </w:tc>
      </w:tr>
      <w:tr>
        <w:trPr>
          <w:cantSplit/>
        </w:trPr>
        <w:tc>
          <w:tcPr>
            <w:tcW w:type="dxa" w:w="2232"/>
            <w:vAlign w:val="top"/>
            <w:tcMar>
              <w:top w:w="90" w:type="dxa"/>
              <w:start w:w="110" w:type="dxa"/>
              <w:bottom w:w="90" w:type="dxa"/>
              <w:end w:w="110" w:type="dxa"/>
            </w:tcMar>
          </w:tcPr>
          <w:p>
            <w:pPr>
              <w:spacing w:after="0" w:line="250" w:lineRule="auto"/>
            </w:pPr>
            <w:r>
              <w:rPr>
                <w:sz w:val="17"/>
              </w:rPr>
              <w:t>post_event_measurement</w:t>
            </w:r>
          </w:p>
        </w:tc>
        <w:tc>
          <w:tcPr>
            <w:tcW w:type="dxa" w:w="3960"/>
            <w:vAlign w:val="top"/>
            <w:tcMar>
              <w:top w:w="90" w:type="dxa"/>
              <w:start w:w="110" w:type="dxa"/>
              <w:bottom w:w="90" w:type="dxa"/>
              <w:end w:w="110" w:type="dxa"/>
            </w:tcMar>
          </w:tcPr>
          <w:p>
            <w:pPr>
              <w:spacing w:after="0" w:line="250" w:lineRule="auto"/>
            </w:pPr>
            <w:r>
              <w:rPr>
                <w:sz w:val="17"/>
              </w:rPr>
              <w:t>The protein was measured after a stroke in relation to the stroke event.</w:t>
            </w:r>
          </w:p>
        </w:tc>
        <w:tc>
          <w:tcPr>
            <w:tcW w:type="dxa" w:w="4320"/>
            <w:vAlign w:val="top"/>
            <w:tcMar>
              <w:top w:w="90" w:type="dxa"/>
              <w:start w:w="110" w:type="dxa"/>
              <w:bottom w:w="90" w:type="dxa"/>
              <w:end w:w="110" w:type="dxa"/>
            </w:tcMar>
          </w:tcPr>
          <w:p>
            <w:pPr>
              <w:spacing w:after="0" w:line="250" w:lineRule="auto"/>
            </w:pPr>
            <w:r>
              <w:rPr>
                <w:sz w:val="17"/>
              </w:rPr>
              <w:t>A case/control, tissue, blood, or time-course association after stroke.</w:t>
            </w:r>
          </w:p>
        </w:tc>
      </w:tr>
      <w:tr>
        <w:trPr>
          <w:cantSplit/>
        </w:trPr>
        <w:tc>
          <w:tcPr>
            <w:tcW w:type="dxa" w:w="2232"/>
            <w:vAlign w:val="top"/>
            <w:tcMar>
              <w:top w:w="90" w:type="dxa"/>
              <w:start w:w="110" w:type="dxa"/>
              <w:bottom w:w="90" w:type="dxa"/>
              <w:end w:w="110" w:type="dxa"/>
            </w:tcMar>
          </w:tcPr>
          <w:p>
            <w:pPr>
              <w:spacing w:after="0" w:line="250" w:lineRule="auto"/>
            </w:pPr>
            <w:r>
              <w:rPr>
                <w:sz w:val="17"/>
              </w:rPr>
              <w:t>severity_or_outcome</w:t>
            </w:r>
          </w:p>
        </w:tc>
        <w:tc>
          <w:tcPr>
            <w:tcW w:type="dxa" w:w="3960"/>
            <w:vAlign w:val="top"/>
            <w:tcMar>
              <w:top w:w="90" w:type="dxa"/>
              <w:start w:w="110" w:type="dxa"/>
              <w:bottom w:w="90" w:type="dxa"/>
              <w:end w:w="110" w:type="dxa"/>
            </w:tcMar>
          </w:tcPr>
          <w:p>
            <w:pPr>
              <w:spacing w:after="0" w:line="250" w:lineRule="auto"/>
            </w:pPr>
            <w:r>
              <w:rPr>
                <w:sz w:val="17"/>
              </w:rPr>
              <w:t>The protein was measured after stroke in relation to severity, complications, recovery, or outcome.</w:t>
            </w:r>
          </w:p>
        </w:tc>
        <w:tc>
          <w:tcPr>
            <w:tcW w:type="dxa" w:w="4320"/>
            <w:vAlign w:val="top"/>
            <w:tcMar>
              <w:top w:w="90" w:type="dxa"/>
              <w:start w:w="110" w:type="dxa"/>
              <w:bottom w:w="90" w:type="dxa"/>
              <w:end w:w="110" w:type="dxa"/>
            </w:tcMar>
          </w:tcPr>
          <w:p>
            <w:pPr>
              <w:spacing w:after="0" w:line="250" w:lineRule="auto"/>
            </w:pPr>
            <w:r>
              <w:rPr>
                <w:sz w:val="17"/>
              </w:rPr>
              <w:t>An association with a clinical outcome after stroke.</w:t>
            </w:r>
          </w:p>
        </w:tc>
      </w:tr>
    </w:tbl>
    <w:p>
      <w:pPr>
        <w:spacing w:after="40"/>
      </w:pPr>
    </w:p>
    <w:p>
      <w:pPr>
        <w:pStyle w:val="ListBullet"/>
        <w:spacing w:after="60"/>
      </w:pPr>
      <w:r>
        <w:t>These fields are not interchangeable. A protein measured after a stroke is not automatically a pre-stroke risk marker.</w:t>
      </w:r>
    </w:p>
    <w:p>
      <w:pPr>
        <w:pStyle w:val="ListBullet"/>
        <w:spacing w:after="60"/>
      </w:pPr>
      <w:r>
        <w:t>A positive label means an association was reported. It does not mean the protein caused stroke or that the finding will replicate in every population.</w:t>
      </w:r>
    </w:p>
    <w:p>
      <w:pPr>
        <w:pStyle w:val="Heading2"/>
      </w:pPr>
      <w:r>
        <w:t>Three evidence statuses</w:t>
      </w:r>
    </w:p>
    <w:tbl>
      <w:tblPr>
        <w:tblStyle w:val="TableGrid"/>
        <w:tblW w:type="auto" w:w="0"/>
        <w:tblLayout w:type="fixed"/>
        <w:tblLook w:firstColumn="1" w:firstRow="1" w:lastColumn="0" w:lastRow="0" w:noHBand="0" w:noVBand="1" w:val="04A0"/>
      </w:tblPr>
      <w:tblGrid>
        <w:gridCol w:w="3504"/>
        <w:gridCol w:w="3504"/>
        <w:gridCol w:w="3504"/>
      </w:tblGrid>
      <w:tr>
        <w:trPr>
          <w:tblHeader w:val="true"/>
        </w:trPr>
        <w:tc>
          <w:tcPr>
            <w:tcW w:type="dxa" w:w="1800"/>
            <w:shd w:fill="17324D"/>
            <w:vAlign w:val="center"/>
            <w:tcMar>
              <w:top w:w="90" w:type="dxa"/>
              <w:start w:w="110" w:type="dxa"/>
              <w:bottom w:w="90" w:type="dxa"/>
              <w:end w:w="110" w:type="dxa"/>
            </w:tcMar>
          </w:tcPr>
          <w:p>
            <w:pPr>
              <w:spacing w:after="0"/>
            </w:pPr>
            <w:r>
              <w:rPr>
                <w:b/>
                <w:color w:val="FFFFFF"/>
                <w:sz w:val="17"/>
              </w:rPr>
              <w:t>Status</w:t>
            </w:r>
          </w:p>
        </w:tc>
        <w:tc>
          <w:tcPr>
            <w:tcW w:type="dxa" w:w="5112"/>
            <w:shd w:fill="17324D"/>
            <w:vAlign w:val="center"/>
            <w:tcMar>
              <w:top w:w="90" w:type="dxa"/>
              <w:start w:w="110" w:type="dxa"/>
              <w:bottom w:w="90" w:type="dxa"/>
              <w:end w:w="110" w:type="dxa"/>
            </w:tcMar>
          </w:tcPr>
          <w:p>
            <w:pPr>
              <w:spacing w:after="0"/>
            </w:pPr>
            <w:r>
              <w:rPr>
                <w:b/>
                <w:color w:val="FFFFFF"/>
                <w:sz w:val="17"/>
              </w:rPr>
              <w:t>What it means</w:t>
            </w:r>
          </w:p>
        </w:tc>
        <w:tc>
          <w:tcPr>
            <w:tcW w:type="dxa" w:w="3600"/>
            <w:shd w:fill="17324D"/>
            <w:vAlign w:val="center"/>
            <w:tcMar>
              <w:top w:w="90" w:type="dxa"/>
              <w:start w:w="110" w:type="dxa"/>
              <w:bottom w:w="90" w:type="dxa"/>
              <w:end w:w="110" w:type="dxa"/>
            </w:tcMar>
          </w:tcPr>
          <w:p>
            <w:pPr>
              <w:spacing w:after="0"/>
            </w:pPr>
            <w:r>
              <w:rPr>
                <w:b/>
                <w:color w:val="FFFFFF"/>
                <w:sz w:val="17"/>
              </w:rPr>
              <w:t>How it is used</w:t>
            </w:r>
          </w:p>
        </w:tc>
      </w:tr>
      <w:tr>
        <w:trPr>
          <w:cantSplit/>
        </w:trPr>
        <w:tc>
          <w:tcPr>
            <w:tcW w:type="dxa" w:w="1800"/>
            <w:vAlign w:val="top"/>
            <w:tcMar>
              <w:top w:w="90" w:type="dxa"/>
              <w:start w:w="110" w:type="dxa"/>
              <w:bottom w:w="90" w:type="dxa"/>
              <w:end w:w="110" w:type="dxa"/>
            </w:tcMar>
          </w:tcPr>
          <w:p>
            <w:pPr>
              <w:spacing w:after="0" w:line="250" w:lineRule="auto"/>
            </w:pPr>
            <w:r>
              <w:rPr>
                <w:sz w:val="17"/>
              </w:rPr>
              <w:t>positive</w:t>
            </w:r>
          </w:p>
        </w:tc>
        <w:tc>
          <w:tcPr>
            <w:tcW w:type="dxa" w:w="5112"/>
            <w:vAlign w:val="top"/>
            <w:tcMar>
              <w:top w:w="90" w:type="dxa"/>
              <w:start w:w="110" w:type="dxa"/>
              <w:bottom w:w="90" w:type="dxa"/>
              <w:end w:w="110" w:type="dxa"/>
            </w:tcMar>
          </w:tcPr>
          <w:p>
            <w:pPr>
              <w:spacing w:after="0" w:line="250" w:lineRule="auto"/>
            </w:pPr>
            <w:r>
              <w:rPr>
                <w:sz w:val="17"/>
              </w:rPr>
              <w:t>At least one qualifying primary human ischemic-stroke paper was reviewed and documented.</w:t>
            </w:r>
          </w:p>
        </w:tc>
        <w:tc>
          <w:tcPr>
            <w:tcW w:type="dxa" w:w="3600"/>
            <w:vAlign w:val="top"/>
            <w:tcMar>
              <w:top w:w="90" w:type="dxa"/>
              <w:start w:w="110" w:type="dxa"/>
              <w:bottom w:w="90" w:type="dxa"/>
              <w:end w:w="110" w:type="dxa"/>
            </w:tcMar>
          </w:tcPr>
          <w:p>
            <w:pPr>
              <w:spacing w:after="0" w:line="250" w:lineRule="auto"/>
            </w:pPr>
            <w:r>
              <w:rPr>
                <w:sz w:val="17"/>
              </w:rPr>
              <w:t>Included as label 1 in the current exploratory training table.</w:t>
            </w:r>
          </w:p>
        </w:tc>
      </w:tr>
      <w:tr>
        <w:trPr>
          <w:cantSplit/>
        </w:trPr>
        <w:tc>
          <w:tcPr>
            <w:tcW w:type="dxa" w:w="1800"/>
            <w:vAlign w:val="top"/>
            <w:tcMar>
              <w:top w:w="90" w:type="dxa"/>
              <w:start w:w="110" w:type="dxa"/>
              <w:bottom w:w="90" w:type="dxa"/>
              <w:end w:w="110" w:type="dxa"/>
            </w:tcMar>
          </w:tcPr>
          <w:p>
            <w:pPr>
              <w:spacing w:after="0" w:line="250" w:lineRule="auto"/>
            </w:pPr>
            <w:r>
              <w:rPr>
                <w:sz w:val="17"/>
              </w:rPr>
              <w:t>candidate_negative</w:t>
            </w:r>
          </w:p>
        </w:tc>
        <w:tc>
          <w:tcPr>
            <w:tcW w:type="dxa" w:w="5112"/>
            <w:vAlign w:val="top"/>
            <w:tcMar>
              <w:top w:w="90" w:type="dxa"/>
              <w:start w:w="110" w:type="dxa"/>
              <w:bottom w:w="90" w:type="dxa"/>
              <w:end w:w="110" w:type="dxa"/>
            </w:tcMar>
          </w:tcPr>
          <w:p>
            <w:pPr>
              <w:spacing w:after="0" w:line="250" w:lineRule="auto"/>
            </w:pPr>
            <w:r>
              <w:rPr>
                <w:sz w:val="17"/>
              </w:rPr>
              <w:t>No qualifying protein-specific human evidence was found in a logged, limited search.</w:t>
            </w:r>
          </w:p>
        </w:tc>
        <w:tc>
          <w:tcPr>
            <w:tcW w:type="dxa" w:w="3600"/>
            <w:vAlign w:val="top"/>
            <w:tcMar>
              <w:top w:w="90" w:type="dxa"/>
              <w:start w:w="110" w:type="dxa"/>
              <w:bottom w:w="90" w:type="dxa"/>
              <w:end w:w="110" w:type="dxa"/>
            </w:tcMar>
          </w:tcPr>
          <w:p>
            <w:pPr>
              <w:spacing w:after="0" w:line="250" w:lineRule="auto"/>
            </w:pPr>
            <w:r>
              <w:rPr>
                <w:sz w:val="17"/>
              </w:rPr>
              <w:t>Included as label 0 for an exploratory run only; it is not a proven biological negative.</w:t>
            </w:r>
          </w:p>
        </w:tc>
      </w:tr>
      <w:tr>
        <w:trPr>
          <w:cantSplit/>
        </w:trPr>
        <w:tc>
          <w:tcPr>
            <w:tcW w:type="dxa" w:w="1800"/>
            <w:vAlign w:val="top"/>
            <w:tcMar>
              <w:top w:w="90" w:type="dxa"/>
              <w:start w:w="110" w:type="dxa"/>
              <w:bottom w:w="90" w:type="dxa"/>
              <w:end w:w="110" w:type="dxa"/>
            </w:tcMar>
          </w:tcPr>
          <w:p>
            <w:pPr>
              <w:spacing w:after="0" w:line="250" w:lineRule="auto"/>
            </w:pPr>
            <w:r>
              <w:rPr>
                <w:sz w:val="17"/>
              </w:rPr>
              <w:t>unresolved</w:t>
            </w:r>
          </w:p>
        </w:tc>
        <w:tc>
          <w:tcPr>
            <w:tcW w:type="dxa" w:w="5112"/>
            <w:vAlign w:val="top"/>
            <w:tcMar>
              <w:top w:w="90" w:type="dxa"/>
              <w:start w:w="110" w:type="dxa"/>
              <w:bottom w:w="90" w:type="dxa"/>
              <w:end w:w="110" w:type="dxa"/>
            </w:tcMar>
          </w:tcPr>
          <w:p>
            <w:pPr>
              <w:spacing w:after="0" w:line="250" w:lineRule="auto"/>
            </w:pPr>
            <w:r>
              <w:rPr>
                <w:sz w:val="17"/>
              </w:rPr>
              <w:t>Evidence or protein-specific interpretation is ambiguous, or the search is inadequate.</w:t>
            </w:r>
          </w:p>
        </w:tc>
        <w:tc>
          <w:tcPr>
            <w:tcW w:type="dxa" w:w="3600"/>
            <w:vAlign w:val="top"/>
            <w:tcMar>
              <w:top w:w="90" w:type="dxa"/>
              <w:start w:w="110" w:type="dxa"/>
              <w:bottom w:w="90" w:type="dxa"/>
              <w:end w:w="110" w:type="dxa"/>
            </w:tcMar>
          </w:tcPr>
          <w:p>
            <w:pPr>
              <w:spacing w:after="0" w:line="250" w:lineRule="auto"/>
            </w:pPr>
            <w:r>
              <w:rPr>
                <w:sz w:val="17"/>
              </w:rPr>
              <w:t>Kept in the evidence table but excluded from training.</w:t>
            </w:r>
          </w:p>
        </w:tc>
      </w:tr>
    </w:tbl>
    <w:p>
      <w:pPr>
        <w:spacing w:after="40"/>
      </w:pPr>
    </w:p>
    <w:p>
      <w:pPr>
        <w:pStyle w:val="Heading1"/>
      </w:pPr>
      <w:r>
        <w:t>2  How the dataset was assembled</w:t>
      </w:r>
    </w:p>
    <w:p>
      <w:r>
        <w:t>The dataset is built from reviewed human research candidates and verified human protein sequences. A candidate list, a database association, an animal experiment, or a non-significant panel result alone does not establish either a positive or a biological negative.</w:t>
      </w:r>
    </w:p>
    <w:p>
      <w:r>
        <w:t>The 2026 HIV-associated study quantified a targeted plasma panel in people living with HIV; the ischemic-stroke supplement had 27 Up/Down entries and 155 entries marked not significant. The 2022 Lagging study measured 91 neurobiological plasma proteins in 209 ischemic-stroke cases and 209 controls, including acute and follow-up samples. These studies helped identify candidates to search, but panel non-significance was not treated as proof that a protein is unrelated to stroke.</w:t>
      </w:r>
    </w:p>
    <w:p>
      <w:pPr>
        <w:pStyle w:val="ListNumber"/>
        <w:spacing w:after="120"/>
      </w:pPr>
      <w:r>
        <w:rPr>
          <w:b/>
        </w:rPr>
        <w:t xml:space="preserve">Find human evidence. </w:t>
      </w:r>
      <w:r>
        <w:t>Search PubMed and available full text for primary human studies that directly measured or related a protein to ischemic stroke. Record the paper title, DOI or PMID, study population, evidence type, and a concise decision rationale.</w:t>
      </w:r>
    </w:p>
    <w:p>
      <w:pPr>
        <w:pStyle w:val="ListNumber"/>
        <w:spacing w:after="120"/>
      </w:pPr>
      <w:r>
        <w:rPr>
          <w:b/>
        </w:rPr>
        <w:t xml:space="preserve">Record candidates from relevant studies. </w:t>
      </w:r>
      <w:r>
        <w:t>A 2026 human HIV-associated stroke proteomics study and a 2022 human 91-protein stroke study supplied candidates to review. Their cohort results generated literature-search leads; a non-significant result by itself was not called negative.</w:t>
      </w:r>
    </w:p>
    <w:p>
      <w:pPr>
        <w:pStyle w:val="ListNumber"/>
        <w:spacing w:after="120"/>
      </w:pPr>
      <w:r>
        <w:rPr>
          <w:b/>
        </w:rPr>
        <w:t xml:space="preserve">Review each candidate. </w:t>
      </w:r>
      <w:r>
        <w:t>A positive requires a qualifying human paper. A candidate_negative requires a logged search and manual review of relevant hits. Unresolved cases are retained with their reason rather than forced into a class.</w:t>
      </w:r>
    </w:p>
    <w:p>
      <w:pPr>
        <w:pStyle w:val="ListNumber"/>
        <w:spacing w:after="120"/>
      </w:pPr>
      <w:r>
        <w:rPr>
          <w:b/>
        </w:rPr>
        <w:t xml:space="preserve">Retrieve the human sequence. </w:t>
      </w:r>
      <w:r>
        <w:t>Use NCBI RefSeq protein records where available. Store the RefSeq accession, protein/gene, NCBI Gene ID when available, source URL, organism, verification status, retrieval date, sequence length, and accession-mapping caveat. The retrieval helper selects one RefSeq isoform per gene (isoform 1 when available, otherwise the longest), so alternate isoforms are not modeled.</w:t>
      </w:r>
    </w:p>
    <w:p>
      <w:pPr>
        <w:pStyle w:val="ListNumber"/>
        <w:spacing w:after="120"/>
      </w:pPr>
      <w:r>
        <w:rPr>
          <w:b/>
        </w:rPr>
        <w:t xml:space="preserve">Validate before modeling. </w:t>
      </w:r>
      <w:r>
        <w:t>The 66 sequence records were checked as human, nonempty, and composed of the 20 standard amino-acid letters; duplicate accessions and identical sequences were checked. The sequence length range is 92 to 2,813 amino acids.</w:t>
      </w:r>
    </w:p>
    <w:p>
      <w:pPr>
        <w:pStyle w:val="Heading2"/>
      </w:pPr>
      <w:r>
        <w:t>Where candidate-negative records came from</w:t>
      </w:r>
    </w:p>
    <w:p>
      <w:r>
        <w:t>Seven provisional candidates (CPA1, CTRC, SCGB3A2, HAO1, IL17D, PRSS27, and PIGR) remained without qualifying hits after alias-aware and expanded PubMed searches seeded by the 2026 HIV-associated study. Three more (KYNU, CSF2RA, and FCRL2) came from a limited search and review of residual candidates in the 2022 panel. These 10 statuses describe only the search scope documented in the repository. A new study could change them.</w:t>
      </w:r>
    </w:p>
    <w:p>
      <w:r>
        <w:t>F8 and CST5 remain unresolved and have no training sequence row. F8 evidence in a joint FVIII/VWF outcome category did not isolate the protein-specific effect. CST5's zero-hit search does not prove absence of association.</w:t>
      </w:r>
    </w:p>
    <w:p>
      <w:pPr>
        <w:pStyle w:val="Heading2"/>
      </w:pPr>
      <w:r>
        <w:t>Dataset counts</w:t>
      </w:r>
    </w:p>
    <w:tbl>
      <w:tblPr>
        <w:tblStyle w:val="TableGrid"/>
        <w:tblW w:type="auto" w:w="0"/>
        <w:tblLayout w:type="fixed"/>
        <w:tblLook w:firstColumn="1" w:firstRow="1" w:lastColumn="0" w:lastRow="0" w:noHBand="0" w:noVBand="1" w:val="04A0"/>
      </w:tblPr>
      <w:tblGrid>
        <w:gridCol w:w="2102"/>
        <w:gridCol w:w="2102"/>
        <w:gridCol w:w="2102"/>
        <w:gridCol w:w="2102"/>
        <w:gridCol w:w="2102"/>
      </w:tblGrid>
      <w:tr>
        <w:trPr>
          <w:tblHeader w:val="true"/>
        </w:trPr>
        <w:tc>
          <w:tcPr>
            <w:tcW w:type="dxa" w:w="3384"/>
            <w:shd w:fill="17324D"/>
            <w:vAlign w:val="center"/>
            <w:tcMar>
              <w:top w:w="90" w:type="dxa"/>
              <w:start w:w="110" w:type="dxa"/>
              <w:bottom w:w="90" w:type="dxa"/>
              <w:end w:w="110" w:type="dxa"/>
            </w:tcMar>
          </w:tcPr>
          <w:p>
            <w:pPr>
              <w:spacing w:after="0"/>
            </w:pPr>
            <w:r>
              <w:rPr>
                <w:b/>
                <w:color w:val="FFFFFF"/>
                <w:sz w:val="17"/>
              </w:rPr>
              <w:t>What is counted</w:t>
            </w:r>
          </w:p>
        </w:tc>
        <w:tc>
          <w:tcPr>
            <w:tcW w:type="dxa" w:w="1440"/>
            <w:shd w:fill="17324D"/>
            <w:vAlign w:val="center"/>
            <w:tcMar>
              <w:top w:w="90" w:type="dxa"/>
              <w:start w:w="110" w:type="dxa"/>
              <w:bottom w:w="90" w:type="dxa"/>
              <w:end w:w="110" w:type="dxa"/>
            </w:tcMar>
          </w:tcPr>
          <w:p>
            <w:pPr>
              <w:spacing w:after="0"/>
            </w:pPr>
            <w:r>
              <w:rPr>
                <w:b/>
                <w:color w:val="FFFFFF"/>
                <w:sz w:val="17"/>
              </w:rPr>
              <w:t>Positive</w:t>
            </w:r>
          </w:p>
        </w:tc>
        <w:tc>
          <w:tcPr>
            <w:tcW w:type="dxa" w:w="2016"/>
            <w:shd w:fill="17324D"/>
            <w:vAlign w:val="center"/>
            <w:tcMar>
              <w:top w:w="90" w:type="dxa"/>
              <w:start w:w="110" w:type="dxa"/>
              <w:bottom w:w="90" w:type="dxa"/>
              <w:end w:w="110" w:type="dxa"/>
            </w:tcMar>
          </w:tcPr>
          <w:p>
            <w:pPr>
              <w:spacing w:after="0"/>
            </w:pPr>
            <w:r>
              <w:rPr>
                <w:b/>
                <w:color w:val="FFFFFF"/>
                <w:sz w:val="17"/>
              </w:rPr>
              <w:t>Candidate-negative</w:t>
            </w:r>
          </w:p>
        </w:tc>
        <w:tc>
          <w:tcPr>
            <w:tcW w:type="dxa" w:w="1800"/>
            <w:shd w:fill="17324D"/>
            <w:vAlign w:val="center"/>
            <w:tcMar>
              <w:top w:w="90" w:type="dxa"/>
              <w:start w:w="110" w:type="dxa"/>
              <w:bottom w:w="90" w:type="dxa"/>
              <w:end w:w="110" w:type="dxa"/>
            </w:tcMar>
          </w:tcPr>
          <w:p>
            <w:pPr>
              <w:spacing w:after="0"/>
            </w:pPr>
            <w:r>
              <w:rPr>
                <w:b/>
                <w:color w:val="FFFFFF"/>
                <w:sz w:val="17"/>
              </w:rPr>
              <w:t>Unresolved</w:t>
            </w:r>
          </w:p>
        </w:tc>
        <w:tc>
          <w:tcPr>
            <w:tcW w:type="dxa" w:w="1440"/>
            <w:shd w:fill="17324D"/>
            <w:vAlign w:val="center"/>
            <w:tcMar>
              <w:top w:w="90" w:type="dxa"/>
              <w:start w:w="110" w:type="dxa"/>
              <w:bottom w:w="90" w:type="dxa"/>
              <w:end w:w="110" w:type="dxa"/>
            </w:tcMar>
          </w:tcPr>
          <w:p>
            <w:pPr>
              <w:spacing w:after="0"/>
            </w:pPr>
            <w:r>
              <w:rPr>
                <w:b/>
                <w:color w:val="FFFFFF"/>
                <w:sz w:val="17"/>
              </w:rPr>
              <w:t>Total</w:t>
            </w:r>
          </w:p>
        </w:tc>
      </w:tr>
      <w:tr>
        <w:trPr>
          <w:cantSplit/>
        </w:trPr>
        <w:tc>
          <w:tcPr>
            <w:tcW w:type="dxa" w:w="3384"/>
            <w:vAlign w:val="top"/>
            <w:tcMar>
              <w:top w:w="90" w:type="dxa"/>
              <w:start w:w="110" w:type="dxa"/>
              <w:bottom w:w="90" w:type="dxa"/>
              <w:end w:w="110" w:type="dxa"/>
            </w:tcMar>
          </w:tcPr>
          <w:p>
            <w:pPr>
              <w:spacing w:after="0" w:line="250" w:lineRule="auto"/>
            </w:pPr>
            <w:r>
              <w:rPr>
                <w:sz w:val="17"/>
              </w:rPr>
              <w:t>Evidence curation rows</w:t>
            </w:r>
          </w:p>
        </w:tc>
        <w:tc>
          <w:tcPr>
            <w:tcW w:type="dxa" w:w="1440"/>
            <w:vAlign w:val="top"/>
            <w:tcMar>
              <w:top w:w="90" w:type="dxa"/>
              <w:start w:w="110" w:type="dxa"/>
              <w:bottom w:w="90" w:type="dxa"/>
              <w:end w:w="110" w:type="dxa"/>
            </w:tcMar>
          </w:tcPr>
          <w:p>
            <w:pPr>
              <w:spacing w:after="0" w:line="250" w:lineRule="auto"/>
            </w:pPr>
            <w:r>
              <w:rPr>
                <w:sz w:val="17"/>
              </w:rPr>
              <w:t>56</w:t>
            </w:r>
          </w:p>
        </w:tc>
        <w:tc>
          <w:tcPr>
            <w:tcW w:type="dxa" w:w="2016"/>
            <w:vAlign w:val="top"/>
            <w:tcMar>
              <w:top w:w="90" w:type="dxa"/>
              <w:start w:w="110" w:type="dxa"/>
              <w:bottom w:w="90" w:type="dxa"/>
              <w:end w:w="110" w:type="dxa"/>
            </w:tcMar>
          </w:tcPr>
          <w:p>
            <w:pPr>
              <w:spacing w:after="0" w:line="250" w:lineRule="auto"/>
            </w:pPr>
            <w:r>
              <w:rPr>
                <w:sz w:val="17"/>
              </w:rPr>
              <w:t>10</w:t>
            </w:r>
          </w:p>
        </w:tc>
        <w:tc>
          <w:tcPr>
            <w:tcW w:type="dxa" w:w="1800"/>
            <w:vAlign w:val="top"/>
            <w:tcMar>
              <w:top w:w="90" w:type="dxa"/>
              <w:start w:w="110" w:type="dxa"/>
              <w:bottom w:w="90" w:type="dxa"/>
              <w:end w:w="110" w:type="dxa"/>
            </w:tcMar>
          </w:tcPr>
          <w:p>
            <w:pPr>
              <w:spacing w:after="0" w:line="250" w:lineRule="auto"/>
            </w:pPr>
            <w:r>
              <w:rPr>
                <w:sz w:val="17"/>
              </w:rPr>
              <w:t>2</w:t>
            </w:r>
          </w:p>
        </w:tc>
        <w:tc>
          <w:tcPr>
            <w:tcW w:type="dxa" w:w="1440"/>
            <w:vAlign w:val="top"/>
            <w:tcMar>
              <w:top w:w="90" w:type="dxa"/>
              <w:start w:w="110" w:type="dxa"/>
              <w:bottom w:w="90" w:type="dxa"/>
              <w:end w:w="110" w:type="dxa"/>
            </w:tcMar>
          </w:tcPr>
          <w:p>
            <w:pPr>
              <w:spacing w:after="0" w:line="250" w:lineRule="auto"/>
            </w:pPr>
            <w:r>
              <w:rPr>
                <w:sz w:val="17"/>
              </w:rPr>
              <w:t>68</w:t>
            </w:r>
          </w:p>
        </w:tc>
      </w:tr>
      <w:tr>
        <w:trPr>
          <w:cantSplit/>
        </w:trPr>
        <w:tc>
          <w:tcPr>
            <w:tcW w:type="dxa" w:w="3384"/>
            <w:vAlign w:val="top"/>
            <w:tcMar>
              <w:top w:w="90" w:type="dxa"/>
              <w:start w:w="110" w:type="dxa"/>
              <w:bottom w:w="90" w:type="dxa"/>
              <w:end w:w="110" w:type="dxa"/>
            </w:tcMar>
          </w:tcPr>
          <w:p>
            <w:pPr>
              <w:spacing w:after="0" w:line="250" w:lineRule="auto"/>
            </w:pPr>
            <w:r>
              <w:rPr>
                <w:sz w:val="17"/>
              </w:rPr>
              <w:t>Sequence-backed training rows</w:t>
            </w:r>
          </w:p>
        </w:tc>
        <w:tc>
          <w:tcPr>
            <w:tcW w:type="dxa" w:w="1440"/>
            <w:vAlign w:val="top"/>
            <w:tcMar>
              <w:top w:w="90" w:type="dxa"/>
              <w:start w:w="110" w:type="dxa"/>
              <w:bottom w:w="90" w:type="dxa"/>
              <w:end w:w="110" w:type="dxa"/>
            </w:tcMar>
          </w:tcPr>
          <w:p>
            <w:pPr>
              <w:spacing w:after="0" w:line="250" w:lineRule="auto"/>
            </w:pPr>
            <w:r>
              <w:rPr>
                <w:sz w:val="17"/>
              </w:rPr>
              <w:t>56</w:t>
            </w:r>
          </w:p>
        </w:tc>
        <w:tc>
          <w:tcPr>
            <w:tcW w:type="dxa" w:w="2016"/>
            <w:vAlign w:val="top"/>
            <w:tcMar>
              <w:top w:w="90" w:type="dxa"/>
              <w:start w:w="110" w:type="dxa"/>
              <w:bottom w:w="90" w:type="dxa"/>
              <w:end w:w="110" w:type="dxa"/>
            </w:tcMar>
          </w:tcPr>
          <w:p>
            <w:pPr>
              <w:spacing w:after="0" w:line="250" w:lineRule="auto"/>
            </w:pPr>
            <w:r>
              <w:rPr>
                <w:sz w:val="17"/>
              </w:rPr>
              <w:t>10</w:t>
            </w:r>
          </w:p>
        </w:tc>
        <w:tc>
          <w:tcPr>
            <w:tcW w:type="dxa" w:w="1800"/>
            <w:vAlign w:val="top"/>
            <w:tcMar>
              <w:top w:w="90" w:type="dxa"/>
              <w:start w:w="110" w:type="dxa"/>
              <w:bottom w:w="90" w:type="dxa"/>
              <w:end w:w="110" w:type="dxa"/>
            </w:tcMar>
          </w:tcPr>
          <w:p>
            <w:pPr>
              <w:spacing w:after="0" w:line="250" w:lineRule="auto"/>
            </w:pPr>
            <w:r>
              <w:rPr>
                <w:sz w:val="17"/>
              </w:rPr>
              <w:t>Excluded</w:t>
            </w:r>
          </w:p>
        </w:tc>
        <w:tc>
          <w:tcPr>
            <w:tcW w:type="dxa" w:w="1440"/>
            <w:vAlign w:val="top"/>
            <w:tcMar>
              <w:top w:w="90" w:type="dxa"/>
              <w:start w:w="110" w:type="dxa"/>
              <w:bottom w:w="90" w:type="dxa"/>
              <w:end w:w="110" w:type="dxa"/>
            </w:tcMar>
          </w:tcPr>
          <w:p>
            <w:pPr>
              <w:spacing w:after="0" w:line="250" w:lineRule="auto"/>
            </w:pPr>
            <w:r>
              <w:rPr>
                <w:sz w:val="17"/>
              </w:rPr>
              <w:t>66</w:t>
            </w:r>
          </w:p>
        </w:tc>
      </w:tr>
      <w:tr>
        <w:trPr>
          <w:cantSplit/>
        </w:trPr>
        <w:tc>
          <w:tcPr>
            <w:tcW w:type="dxa" w:w="3384"/>
            <w:vAlign w:val="top"/>
            <w:tcMar>
              <w:top w:w="90" w:type="dxa"/>
              <w:start w:w="110" w:type="dxa"/>
              <w:bottom w:w="90" w:type="dxa"/>
              <w:end w:w="110" w:type="dxa"/>
            </w:tcMar>
          </w:tcPr>
          <w:p>
            <w:pPr>
              <w:spacing w:after="0" w:line="250" w:lineRule="auto"/>
            </w:pPr>
            <w:r>
              <w:rPr>
                <w:sz w:val="17"/>
              </w:rPr>
              <w:t>Independent similarity groups</w:t>
            </w:r>
          </w:p>
        </w:tc>
        <w:tc>
          <w:tcPr>
            <w:tcW w:type="dxa" w:w="1440"/>
            <w:vAlign w:val="top"/>
            <w:tcMar>
              <w:top w:w="90" w:type="dxa"/>
              <w:start w:w="110" w:type="dxa"/>
              <w:bottom w:w="90" w:type="dxa"/>
              <w:end w:w="110" w:type="dxa"/>
            </w:tcMar>
          </w:tcPr>
          <w:p>
            <w:pPr>
              <w:spacing w:after="0" w:line="250" w:lineRule="auto"/>
            </w:pPr>
            <w:r>
              <w:rPr>
                <w:sz w:val="17"/>
              </w:rPr>
              <w:t>51</w:t>
            </w:r>
          </w:p>
        </w:tc>
        <w:tc>
          <w:tcPr>
            <w:tcW w:type="dxa" w:w="2016"/>
            <w:vAlign w:val="top"/>
            <w:tcMar>
              <w:top w:w="90" w:type="dxa"/>
              <w:start w:w="110" w:type="dxa"/>
              <w:bottom w:w="90" w:type="dxa"/>
              <w:end w:w="110" w:type="dxa"/>
            </w:tcMar>
          </w:tcPr>
          <w:p>
            <w:pPr>
              <w:spacing w:after="0" w:line="250" w:lineRule="auto"/>
            </w:pPr>
            <w:r>
              <w:rPr>
                <w:sz w:val="17"/>
              </w:rPr>
              <w:t>10</w:t>
            </w:r>
          </w:p>
        </w:tc>
        <w:tc>
          <w:tcPr>
            <w:tcW w:type="dxa" w:w="1800"/>
            <w:vAlign w:val="top"/>
            <w:tcMar>
              <w:top w:w="90" w:type="dxa"/>
              <w:start w:w="110" w:type="dxa"/>
              <w:bottom w:w="90" w:type="dxa"/>
              <w:end w:w="110" w:type="dxa"/>
            </w:tcMar>
          </w:tcPr>
          <w:p>
            <w:pPr>
              <w:spacing w:after="0" w:line="250" w:lineRule="auto"/>
            </w:pPr>
            <w:r>
              <w:rPr>
                <w:sz w:val="17"/>
              </w:rPr>
              <w:t>Excluded</w:t>
            </w:r>
          </w:p>
        </w:tc>
        <w:tc>
          <w:tcPr>
            <w:tcW w:type="dxa" w:w="1440"/>
            <w:vAlign w:val="top"/>
            <w:tcMar>
              <w:top w:w="90" w:type="dxa"/>
              <w:start w:w="110" w:type="dxa"/>
              <w:bottom w:w="90" w:type="dxa"/>
              <w:end w:w="110" w:type="dxa"/>
            </w:tcMar>
          </w:tcPr>
          <w:p>
            <w:pPr>
              <w:spacing w:after="0" w:line="250" w:lineRule="auto"/>
            </w:pPr>
            <w:r>
              <w:rPr>
                <w:sz w:val="17"/>
              </w:rPr>
              <w:t>61</w:t>
            </w:r>
          </w:p>
        </w:tc>
      </w:tr>
    </w:tbl>
    <w:p>
      <w:pPr>
        <w:spacing w:after="40"/>
      </w:pPr>
    </w:p>
    <w:p>
      <w:r>
        <w:t>Evidence-category counts overlap: among positive evidence rows, 2 are risk_before_stroke only, 15 are post_event_measurement only, 25 are severity_or_outcome only, and 14 record both post-event measurement and outcome evidence. They sum to 56 positive rows, but they represent different scientific questions.</w:t>
      </w:r>
    </w:p>
    <w:p>
      <w:pPr>
        <w:pStyle w:val="Heading2"/>
      </w:pPr>
      <w:r>
        <w:t>Main data files</w:t>
      </w:r>
    </w:p>
    <w:tbl>
      <w:tblPr>
        <w:tblStyle w:val="TableGrid"/>
        <w:tblW w:type="auto" w:w="0"/>
        <w:tblLayout w:type="fixed"/>
        <w:tblLook w:firstColumn="1" w:firstRow="1" w:lastColumn="0" w:lastRow="0" w:noHBand="0" w:noVBand="1" w:val="04A0"/>
      </w:tblPr>
      <w:tblGrid>
        <w:gridCol w:w="5256"/>
        <w:gridCol w:w="5256"/>
      </w:tblGrid>
      <w:tr>
        <w:trPr>
          <w:tblHeader w:val="true"/>
        </w:trPr>
        <w:tc>
          <w:tcPr>
            <w:tcW w:type="dxa" w:w="3960"/>
            <w:shd w:fill="17324D"/>
            <w:vAlign w:val="center"/>
            <w:tcMar>
              <w:top w:w="90" w:type="dxa"/>
              <w:start w:w="110" w:type="dxa"/>
              <w:bottom w:w="90" w:type="dxa"/>
              <w:end w:w="110" w:type="dxa"/>
            </w:tcMar>
          </w:tcPr>
          <w:p>
            <w:pPr>
              <w:spacing w:after="0"/>
            </w:pPr>
            <w:r>
              <w:rPr>
                <w:b/>
                <w:color w:val="FFFFFF"/>
                <w:sz w:val="17"/>
              </w:rPr>
              <w:t>File</w:t>
            </w:r>
          </w:p>
        </w:tc>
        <w:tc>
          <w:tcPr>
            <w:tcW w:type="dxa" w:w="6120"/>
            <w:shd w:fill="17324D"/>
            <w:vAlign w:val="center"/>
            <w:tcMar>
              <w:top w:w="90" w:type="dxa"/>
              <w:start w:w="110" w:type="dxa"/>
              <w:bottom w:w="90" w:type="dxa"/>
              <w:end w:w="110" w:type="dxa"/>
            </w:tcMar>
          </w:tcPr>
          <w:p>
            <w:pPr>
              <w:spacing w:after="0"/>
            </w:pPr>
            <w:r>
              <w:rPr>
                <w:b/>
                <w:color w:val="FFFFFF"/>
                <w:sz w:val="17"/>
              </w:rPr>
              <w:t>Purpose</w:t>
            </w:r>
          </w:p>
        </w:tc>
      </w:tr>
      <w:tr>
        <w:trPr>
          <w:cantSplit/>
        </w:trPr>
        <w:tc>
          <w:tcPr>
            <w:tcW w:type="dxa" w:w="3960"/>
            <w:vAlign w:val="top"/>
            <w:tcMar>
              <w:top w:w="90" w:type="dxa"/>
              <w:start w:w="110" w:type="dxa"/>
              <w:bottom w:w="90" w:type="dxa"/>
              <w:end w:w="110" w:type="dxa"/>
            </w:tcMar>
          </w:tcPr>
          <w:p>
            <w:pPr>
              <w:spacing w:after="0" w:line="250" w:lineRule="auto"/>
            </w:pPr>
            <w:r>
              <w:rPr>
                <w:sz w:val="17"/>
              </w:rPr>
              <w:t>data/raw/evidence_curation.csv</w:t>
            </w:r>
          </w:p>
        </w:tc>
        <w:tc>
          <w:tcPr>
            <w:tcW w:type="dxa" w:w="6120"/>
            <w:vAlign w:val="top"/>
            <w:tcMar>
              <w:top w:w="90" w:type="dxa"/>
              <w:start w:w="110" w:type="dxa"/>
              <w:bottom w:w="90" w:type="dxa"/>
              <w:end w:w="110" w:type="dxa"/>
            </w:tcMar>
          </w:tcPr>
          <w:p>
            <w:pPr>
              <w:spacing w:after="0" w:line="250" w:lineRule="auto"/>
            </w:pPr>
            <w:r>
              <w:rPr>
                <w:sz w:val="17"/>
              </w:rPr>
              <w:t>Candidate-level decisions, literature citation, population, rationale, and sequence provenance/status.</w:t>
            </w:r>
          </w:p>
        </w:tc>
      </w:tr>
      <w:tr>
        <w:trPr>
          <w:cantSplit/>
        </w:trPr>
        <w:tc>
          <w:tcPr>
            <w:tcW w:type="dxa" w:w="3960"/>
            <w:vAlign w:val="top"/>
            <w:tcMar>
              <w:top w:w="90" w:type="dxa"/>
              <w:start w:w="110" w:type="dxa"/>
              <w:bottom w:w="90" w:type="dxa"/>
              <w:end w:w="110" w:type="dxa"/>
            </w:tcMar>
          </w:tcPr>
          <w:p>
            <w:pPr>
              <w:spacing w:after="0" w:line="250" w:lineRule="auto"/>
            </w:pPr>
            <w:r>
              <w:rPr>
                <w:sz w:val="17"/>
              </w:rPr>
              <w:t>data/processed/proteins_esm.csv</w:t>
            </w:r>
          </w:p>
        </w:tc>
        <w:tc>
          <w:tcPr>
            <w:tcW w:type="dxa" w:w="6120"/>
            <w:vAlign w:val="top"/>
            <w:tcMar>
              <w:top w:w="90" w:type="dxa"/>
              <w:start w:w="110" w:type="dxa"/>
              <w:bottom w:w="90" w:type="dxa"/>
              <w:end w:w="110" w:type="dxa"/>
            </w:tcMar>
          </w:tcPr>
          <w:p>
            <w:pPr>
              <w:spacing w:after="0" w:line="250" w:lineRule="auto"/>
            </w:pPr>
            <w:r>
              <w:rPr>
                <w:sz w:val="17"/>
              </w:rPr>
              <w:t>Machine-readable sequence and binary-label table used by the model.</w:t>
            </w:r>
          </w:p>
        </w:tc>
      </w:tr>
      <w:tr>
        <w:trPr>
          <w:cantSplit/>
        </w:trPr>
        <w:tc>
          <w:tcPr>
            <w:tcW w:type="dxa" w:w="3960"/>
            <w:vAlign w:val="top"/>
            <w:tcMar>
              <w:top w:w="90" w:type="dxa"/>
              <w:start w:w="110" w:type="dxa"/>
              <w:bottom w:w="90" w:type="dxa"/>
              <w:end w:w="110" w:type="dxa"/>
            </w:tcMar>
          </w:tcPr>
          <w:p>
            <w:pPr>
              <w:spacing w:after="0" w:line="250" w:lineRule="auto"/>
            </w:pPr>
            <w:r>
              <w:rPr>
                <w:sz w:val="17"/>
              </w:rPr>
              <w:t>data/processed/proteins_esm.fasta</w:t>
            </w:r>
          </w:p>
        </w:tc>
        <w:tc>
          <w:tcPr>
            <w:tcW w:type="dxa" w:w="6120"/>
            <w:vAlign w:val="top"/>
            <w:tcMar>
              <w:top w:w="90" w:type="dxa"/>
              <w:start w:w="110" w:type="dxa"/>
              <w:bottom w:w="90" w:type="dxa"/>
              <w:end w:w="110" w:type="dxa"/>
            </w:tcMar>
          </w:tcPr>
          <w:p>
            <w:pPr>
              <w:spacing w:after="0" w:line="250" w:lineRule="auto"/>
            </w:pPr>
            <w:r>
              <w:rPr>
                <w:sz w:val="17"/>
              </w:rPr>
              <w:t>FASTA-formatted version of the verified sequence set.</w:t>
            </w:r>
          </w:p>
        </w:tc>
      </w:tr>
      <w:tr>
        <w:trPr>
          <w:cantSplit/>
        </w:trPr>
        <w:tc>
          <w:tcPr>
            <w:tcW w:type="dxa" w:w="3960"/>
            <w:vAlign w:val="top"/>
            <w:tcMar>
              <w:top w:w="90" w:type="dxa"/>
              <w:start w:w="110" w:type="dxa"/>
              <w:bottom w:w="90" w:type="dxa"/>
              <w:end w:w="110" w:type="dxa"/>
            </w:tcMar>
          </w:tcPr>
          <w:p>
            <w:pPr>
              <w:spacing w:after="0" w:line="250" w:lineRule="auto"/>
            </w:pPr>
            <w:r>
              <w:rPr>
                <w:sz w:val="17"/>
              </w:rPr>
              <w:t>data/raw/*pubmed*.csv and source supplements</w:t>
            </w:r>
          </w:p>
        </w:tc>
        <w:tc>
          <w:tcPr>
            <w:tcW w:type="dxa" w:w="6120"/>
            <w:vAlign w:val="top"/>
            <w:tcMar>
              <w:top w:w="90" w:type="dxa"/>
              <w:start w:w="110" w:type="dxa"/>
              <w:bottom w:w="90" w:type="dxa"/>
              <w:end w:w="110" w:type="dxa"/>
            </w:tcMar>
          </w:tcPr>
          <w:p>
            <w:pPr>
              <w:spacing w:after="0" w:line="250" w:lineRule="auto"/>
            </w:pPr>
            <w:r>
              <w:rPr>
                <w:sz w:val="17"/>
              </w:rPr>
              <w:t>Search pools, query logs, and source material that document candidate discovery and review.</w:t>
            </w:r>
          </w:p>
        </w:tc>
      </w:tr>
    </w:tbl>
    <w:p>
      <w:pPr>
        <w:spacing w:after="40"/>
      </w:pPr>
    </w:p>
    <w:p>
      <w:pPr>
        <w:pStyle w:val="Heading1"/>
      </w:pPr>
      <w:r>
        <w:t>3  How the model works</w:t>
      </w:r>
    </w:p>
    <w:p>
      <w:r>
        <w:t>The project uses an existing pretrained protein model to turn each amino-acid sequence into numbers, then fits a small standard classifier to those numbers. The encoder is frozen: it is not retrained on this small stroke dataset.</w:t>
      </w:r>
    </w:p>
    <w:tbl>
      <w:tblPr>
        <w:tblStyle w:val="TableGrid"/>
        <w:tblW w:type="auto" w:w="0"/>
        <w:tblLayout w:type="fixed"/>
        <w:tblLook w:firstColumn="1" w:firstRow="1" w:lastColumn="0" w:lastRow="0" w:noHBand="0" w:noVBand="1" w:val="04A0"/>
      </w:tblPr>
      <w:tblGrid>
        <w:gridCol w:w="3504"/>
        <w:gridCol w:w="3504"/>
        <w:gridCol w:w="3504"/>
      </w:tblGrid>
      <w:tr>
        <w:trPr>
          <w:tblHeader w:val="true"/>
        </w:trPr>
        <w:tc>
          <w:tcPr>
            <w:tcW w:type="dxa" w:w="2016"/>
            <w:shd w:fill="17324D"/>
            <w:vAlign w:val="center"/>
            <w:tcMar>
              <w:top w:w="90" w:type="dxa"/>
              <w:start w:w="110" w:type="dxa"/>
              <w:bottom w:w="90" w:type="dxa"/>
              <w:end w:w="110" w:type="dxa"/>
            </w:tcMar>
          </w:tcPr>
          <w:p>
            <w:pPr>
              <w:spacing w:after="0"/>
            </w:pPr>
            <w:r>
              <w:rPr>
                <w:b/>
                <w:color w:val="FFFFFF"/>
                <w:sz w:val="16"/>
              </w:rPr>
              <w:t>Stage</w:t>
            </w:r>
          </w:p>
        </w:tc>
        <w:tc>
          <w:tcPr>
            <w:tcW w:type="dxa" w:w="5688"/>
            <w:shd w:fill="17324D"/>
            <w:vAlign w:val="center"/>
            <w:tcMar>
              <w:top w:w="90" w:type="dxa"/>
              <w:start w:w="110" w:type="dxa"/>
              <w:bottom w:w="90" w:type="dxa"/>
              <w:end w:w="110" w:type="dxa"/>
            </w:tcMar>
          </w:tcPr>
          <w:p>
            <w:pPr>
              <w:spacing w:after="0"/>
            </w:pPr>
            <w:r>
              <w:rPr>
                <w:b/>
                <w:color w:val="FFFFFF"/>
                <w:sz w:val="16"/>
              </w:rPr>
              <w:t>What happens</w:t>
            </w:r>
          </w:p>
        </w:tc>
        <w:tc>
          <w:tcPr>
            <w:tcW w:type="dxa" w:w="2808"/>
            <w:shd w:fill="17324D"/>
            <w:vAlign w:val="center"/>
            <w:tcMar>
              <w:top w:w="90" w:type="dxa"/>
              <w:start w:w="110" w:type="dxa"/>
              <w:bottom w:w="90" w:type="dxa"/>
              <w:end w:w="110" w:type="dxa"/>
            </w:tcMar>
          </w:tcPr>
          <w:p>
            <w:pPr>
              <w:spacing w:after="0"/>
            </w:pPr>
            <w:r>
              <w:rPr>
                <w:b/>
                <w:color w:val="FFFFFF"/>
                <w:sz w:val="16"/>
              </w:rPr>
              <w:t>Simple analogy</w:t>
            </w:r>
          </w:p>
        </w:tc>
      </w:tr>
      <w:tr>
        <w:trPr>
          <w:cantSplit/>
        </w:trPr>
        <w:tc>
          <w:tcPr>
            <w:tcW w:type="dxa" w:w="2016"/>
            <w:vAlign w:val="top"/>
            <w:tcMar>
              <w:top w:w="90" w:type="dxa"/>
              <w:start w:w="110" w:type="dxa"/>
              <w:bottom w:w="90" w:type="dxa"/>
              <w:end w:w="110" w:type="dxa"/>
            </w:tcMar>
          </w:tcPr>
          <w:p>
            <w:pPr>
              <w:spacing w:after="0" w:line="250" w:lineRule="auto"/>
            </w:pPr>
            <w:r>
              <w:rPr>
                <w:sz w:val="16"/>
              </w:rPr>
              <w:t>1. Sequence</w:t>
            </w:r>
          </w:p>
        </w:tc>
        <w:tc>
          <w:tcPr>
            <w:tcW w:type="dxa" w:w="5688"/>
            <w:vAlign w:val="top"/>
            <w:tcMar>
              <w:top w:w="90" w:type="dxa"/>
              <w:start w:w="110" w:type="dxa"/>
              <w:bottom w:w="90" w:type="dxa"/>
              <w:end w:w="110" w:type="dxa"/>
            </w:tcMar>
          </w:tcPr>
          <w:p>
            <w:pPr>
              <w:spacing w:after="0" w:line="250" w:lineRule="auto"/>
            </w:pPr>
            <w:r>
              <w:rPr>
                <w:sz w:val="16"/>
              </w:rPr>
              <w:t>Read the amino-acid letters of one human protein.</w:t>
            </w:r>
          </w:p>
        </w:tc>
        <w:tc>
          <w:tcPr>
            <w:tcW w:type="dxa" w:w="2808"/>
            <w:vAlign w:val="top"/>
            <w:tcMar>
              <w:top w:w="90" w:type="dxa"/>
              <w:start w:w="110" w:type="dxa"/>
              <w:bottom w:w="90" w:type="dxa"/>
              <w:end w:w="110" w:type="dxa"/>
            </w:tcMar>
          </w:tcPr>
          <w:p>
            <w:pPr>
              <w:spacing w:after="0" w:line="250" w:lineRule="auto"/>
            </w:pPr>
            <w:r>
              <w:rPr>
                <w:sz w:val="16"/>
              </w:rPr>
              <w:t>A sentence made from a 20-letter alphabet.</w:t>
            </w:r>
          </w:p>
        </w:tc>
      </w:tr>
      <w:tr>
        <w:trPr>
          <w:cantSplit/>
        </w:trPr>
        <w:tc>
          <w:tcPr>
            <w:tcW w:type="dxa" w:w="2016"/>
            <w:vAlign w:val="top"/>
            <w:tcMar>
              <w:top w:w="90" w:type="dxa"/>
              <w:start w:w="110" w:type="dxa"/>
              <w:bottom w:w="90" w:type="dxa"/>
              <w:end w:w="110" w:type="dxa"/>
            </w:tcMar>
          </w:tcPr>
          <w:p>
            <w:pPr>
              <w:spacing w:after="0" w:line="250" w:lineRule="auto"/>
            </w:pPr>
            <w:r>
              <w:rPr>
                <w:sz w:val="16"/>
              </w:rPr>
              <w:t>2. ESM-2</w:t>
            </w:r>
          </w:p>
        </w:tc>
        <w:tc>
          <w:tcPr>
            <w:tcW w:type="dxa" w:w="5688"/>
            <w:vAlign w:val="top"/>
            <w:tcMar>
              <w:top w:w="90" w:type="dxa"/>
              <w:start w:w="110" w:type="dxa"/>
              <w:bottom w:w="90" w:type="dxa"/>
              <w:end w:w="110" w:type="dxa"/>
            </w:tcMar>
          </w:tcPr>
          <w:p>
            <w:pPr>
              <w:spacing w:after="0" w:line="250" w:lineRule="auto"/>
            </w:pPr>
            <w:r>
              <w:rPr>
                <w:sz w:val="16"/>
              </w:rPr>
              <w:t>The frozen esm2_t6_8M_UR50D checkpoint turns each residue into a learned 320-number representation. The implementation uses layer 6 and mean-pools residue representations into one 320-number vector per protein.</w:t>
            </w:r>
          </w:p>
        </w:tc>
        <w:tc>
          <w:tcPr>
            <w:tcW w:type="dxa" w:w="2808"/>
            <w:vAlign w:val="top"/>
            <w:tcMar>
              <w:top w:w="90" w:type="dxa"/>
              <w:start w:w="110" w:type="dxa"/>
              <w:bottom w:w="90" w:type="dxa"/>
              <w:end w:w="110" w:type="dxa"/>
            </w:tcMar>
          </w:tcPr>
          <w:p>
            <w:pPr>
              <w:spacing w:after="0" w:line="250" w:lineRule="auto"/>
            </w:pPr>
            <w:r>
              <w:rPr>
                <w:sz w:val="16"/>
              </w:rPr>
              <w:t>A pretrained reader makes a compact summary vector for the sequence.</w:t>
            </w:r>
          </w:p>
        </w:tc>
      </w:tr>
      <w:tr>
        <w:trPr>
          <w:cantSplit/>
        </w:trPr>
        <w:tc>
          <w:tcPr>
            <w:tcW w:type="dxa" w:w="2016"/>
            <w:vAlign w:val="top"/>
            <w:tcMar>
              <w:top w:w="90" w:type="dxa"/>
              <w:start w:w="110" w:type="dxa"/>
              <w:bottom w:w="90" w:type="dxa"/>
              <w:end w:w="110" w:type="dxa"/>
            </w:tcMar>
          </w:tcPr>
          <w:p>
            <w:pPr>
              <w:spacing w:after="0" w:line="250" w:lineRule="auto"/>
            </w:pPr>
            <w:r>
              <w:rPr>
                <w:sz w:val="16"/>
              </w:rPr>
              <w:t>3. Logistic regression</w:t>
            </w:r>
          </w:p>
        </w:tc>
        <w:tc>
          <w:tcPr>
            <w:tcW w:type="dxa" w:w="5688"/>
            <w:vAlign w:val="top"/>
            <w:tcMar>
              <w:top w:w="90" w:type="dxa"/>
              <w:start w:w="110" w:type="dxa"/>
              <w:bottom w:w="90" w:type="dxa"/>
              <w:end w:w="110" w:type="dxa"/>
            </w:tcMar>
          </w:tcPr>
          <w:p>
            <w:pPr>
              <w:spacing w:after="0" w:line="250" w:lineRule="auto"/>
            </w:pPr>
            <w:r>
              <w:rPr>
                <w:sz w:val="16"/>
              </w:rPr>
              <w:t>A standardized, L2-regularized logistic-regression model assigns a score for label 1. Class weights are balanced to account for the uneven class counts.</w:t>
            </w:r>
          </w:p>
        </w:tc>
        <w:tc>
          <w:tcPr>
            <w:tcW w:type="dxa" w:w="2808"/>
            <w:vAlign w:val="top"/>
            <w:tcMar>
              <w:top w:w="90" w:type="dxa"/>
              <w:start w:w="110" w:type="dxa"/>
              <w:bottom w:w="90" w:type="dxa"/>
              <w:end w:w="110" w:type="dxa"/>
            </w:tcMar>
          </w:tcPr>
          <w:p>
            <w:pPr>
              <w:spacing w:after="0" w:line="250" w:lineRule="auto"/>
            </w:pPr>
            <w:r>
              <w:rPr>
                <w:sz w:val="16"/>
              </w:rPr>
              <w:t>A simple weighted rule draws a boundary between the two label groups.</w:t>
            </w:r>
          </w:p>
        </w:tc>
      </w:tr>
      <w:tr>
        <w:trPr>
          <w:cantSplit/>
        </w:trPr>
        <w:tc>
          <w:tcPr>
            <w:tcW w:type="dxa" w:w="2016"/>
            <w:vAlign w:val="top"/>
            <w:tcMar>
              <w:top w:w="90" w:type="dxa"/>
              <w:start w:w="110" w:type="dxa"/>
              <w:bottom w:w="90" w:type="dxa"/>
              <w:end w:w="110" w:type="dxa"/>
            </w:tcMar>
          </w:tcPr>
          <w:p>
            <w:pPr>
              <w:spacing w:after="0" w:line="250" w:lineRule="auto"/>
            </w:pPr>
            <w:r>
              <w:rPr>
                <w:sz w:val="16"/>
              </w:rPr>
              <w:t>4. Decision</w:t>
            </w:r>
          </w:p>
        </w:tc>
        <w:tc>
          <w:tcPr>
            <w:tcW w:type="dxa" w:w="5688"/>
            <w:vAlign w:val="top"/>
            <w:tcMar>
              <w:top w:w="90" w:type="dxa"/>
              <w:start w:w="110" w:type="dxa"/>
              <w:bottom w:w="90" w:type="dxa"/>
              <w:end w:w="110" w:type="dxa"/>
            </w:tcMar>
          </w:tcPr>
          <w:p>
            <w:pPr>
              <w:spacing w:after="0" w:line="250" w:lineRule="auto"/>
            </w:pPr>
            <w:r>
              <w:rPr>
                <w:sz w:val="16"/>
              </w:rPr>
              <w:t>Compare the score with the threshold selected on validation data (0.05 in this run) to display a label.</w:t>
            </w:r>
          </w:p>
        </w:tc>
        <w:tc>
          <w:tcPr>
            <w:tcW w:type="dxa" w:w="2808"/>
            <w:vAlign w:val="top"/>
            <w:tcMar>
              <w:top w:w="90" w:type="dxa"/>
              <w:start w:w="110" w:type="dxa"/>
              <w:bottom w:w="90" w:type="dxa"/>
              <w:end w:w="110" w:type="dxa"/>
            </w:tcMar>
          </w:tcPr>
          <w:p>
            <w:pPr>
              <w:spacing w:after="0" w:line="250" w:lineRule="auto"/>
            </w:pPr>
            <w:r>
              <w:rPr>
                <w:sz w:val="16"/>
              </w:rPr>
              <w:t>A score above the chosen cutoff is shown in the positive category.</w:t>
            </w:r>
          </w:p>
        </w:tc>
      </w:tr>
    </w:tbl>
    <w:p>
      <w:pPr>
        <w:spacing w:after="40"/>
      </w:pPr>
    </w:p>
    <w:p>
      <w:r>
        <w:t>The ESM-2 checkpoint is a pre-existing model from the ESM research program. The project's contribution is the evidence question, curated candidate dataset, transparent workflow, and exploratory evaluation, not a new model architecture.</w:t>
      </w:r>
    </w:p>
    <w:p>
      <w:r>
        <w:t>The sequence groups prevent similar sequences in this small dataset from crossing its train/validation/test partitions. They do not guarantee that the pretrained ESM-2 model did not encounter related sequences during pretraining; protein-language-model studies have shown that pretraining overlap can affect evaluation.</w:t>
      </w:r>
    </w:p>
    <w:p>
      <w:r>
        <w:t>For sequences longer than the encoder's 1,022-residue window, the code uses overlapping windows with 128 residues of overlap and combines window vectors. No AlphaFold structure, patient clinical features, CNN, ensemble, SMOTE, fine-tuning, or neural classification head is used in the primary model.</w:t>
      </w:r>
    </w:p>
    <w:p>
      <w:pPr>
        <w:pStyle w:val="Heading1"/>
      </w:pPr>
      <w:r>
        <w:t>4  What goes in and what comes out</w:t>
      </w:r>
    </w:p>
    <w:p>
      <w:pPr>
        <w:pStyle w:val="Heading2"/>
      </w:pPr>
      <w:r>
        <w:t>Input</w:t>
      </w:r>
    </w:p>
    <w:p>
      <w:r>
        <w:t>The local UI accepts one raw amino-acid sequence or one FASTA record. It accepts the 20 standard one-letter amino-acid codes: A, C, D, E, F, G, H, I, K, L, M, N, P, Q, R, S, T, V, W, and Y. The current validator rejects ambiguous letters and multiple FASTA records. Human origin must be known by the user; the pasted sequence is not independently matched to NCBI by the demo.</w:t>
      </w:r>
    </w:p>
    <w:p>
      <w:pPr>
        <w:pStyle w:val="Heading2"/>
      </w:pPr>
      <w:r>
        <w:t>Output</w:t>
      </w:r>
    </w:p>
    <w:p>
      <w:r>
        <w:t>The interface reports whether the input format is accepted, the sequence length, a threshold-based model label, a numerical model score, and the threshold. The score is the logistic-regression model's output for class 1. It is not calibrated and should not be read as a trustworthy 99% chance that the protein is associated with stroke. The threshold (0.05) was chosen on a very small validation set, so the displayed label can be biased toward positive.</w:t>
      </w:r>
    </w:p>
    <w:tbl>
      <w:tblPr>
        <w:tblW w:type="auto" w:w="0"/>
        <w:tblLayout w:type="autofit"/>
        <w:tblLook w:firstColumn="1" w:firstRow="1" w:lastColumn="0" w:lastRow="0" w:noHBand="0" w:noVBand="1" w:val="04A0"/>
      </w:tblPr>
      <w:tblGrid>
        <w:gridCol w:w="10512"/>
      </w:tblGrid>
      <w:tr>
        <w:trPr>
          <w:cantSplit/>
        </w:trPr>
        <w:tc>
          <w:tcPr>
            <w:tcW w:type="dxa" w:w="10512"/>
            <w:shd w:fill="FFF4DF"/>
            <w:tcMar>
              <w:top w:w="150" w:type="dxa"/>
              <w:start w:w="180" w:type="dxa"/>
              <w:bottom w:w="150" w:type="dxa"/>
              <w:end w:w="180" w:type="dxa"/>
            </w:tcMar>
          </w:tcPr>
          <w:p>
            <w:pPr>
              <w:spacing w:after="60"/>
            </w:pPr>
            <w:r>
              <w:rPr>
                <w:b/>
                <w:color w:val="17324D"/>
              </w:rPr>
              <w:t>Example of how to read a result</w:t>
            </w:r>
          </w:p>
          <w:p>
            <w:pPr>
              <w:spacing w:after="0"/>
            </w:pPr>
            <w:r>
              <w:t>A displayed positive means only that this particular fitted model's score was above 0.05. It does not prove a literature association, a biological mechanism, an individual's risk, or clinical value. A displayed negative means the model did not cross its cutoff; it does not establish that there is no association.</w:t>
            </w:r>
          </w:p>
        </w:tc>
      </w:tr>
    </w:tbl>
    <w:p>
      <w:pPr>
        <w:spacing w:after="20"/>
      </w:pPr>
    </w:p>
    <w:p>
      <w:pPr>
        <w:pStyle w:val="Heading2"/>
      </w:pPr>
      <w:r>
        <w:t>Run the demo in VS Code</w:t>
      </w:r>
    </w:p>
    <w:p>
      <w:pPr>
        <w:pStyle w:val="ListBullet"/>
        <w:spacing w:after="60"/>
      </w:pPr>
      <w:r>
        <w:t>Open the StrokeProt-AI repository folder in VS Code.</w:t>
      </w:r>
    </w:p>
    <w:p>
      <w:pPr>
        <w:pStyle w:val="ListBullet"/>
        <w:spacing w:after="60"/>
      </w:pPr>
      <w:r>
        <w:t>Open Terminal &gt; New Terminal and make sure the prompt is in the repository folder.</w:t>
      </w:r>
    </w:p>
    <w:p>
      <w:pPr>
        <w:pStyle w:val="ListBullet"/>
        <w:spacing w:after="60"/>
      </w:pPr>
      <w:r>
        <w:t>Activate the environment with: .venv\Scripts\Activate.ps1</w:t>
      </w:r>
    </w:p>
    <w:p>
      <w:pPr>
        <w:pStyle w:val="ListBullet"/>
        <w:spacing w:after="60"/>
      </w:pPr>
      <w:r>
        <w:t>Start the app with: python app.py</w:t>
      </w:r>
    </w:p>
    <w:p>
      <w:pPr>
        <w:pStyle w:val="ListBullet"/>
        <w:spacing w:after="60"/>
      </w:pPr>
      <w:r>
        <w:t>Open http://127.0.0.1:8000 in a browser, paste one sequence, and click Score sequence.</w:t>
      </w:r>
    </w:p>
    <w:p>
      <w:pPr>
        <w:pStyle w:val="ListBullet"/>
        <w:spacing w:after="60"/>
      </w:pPr>
      <w:r>
        <w:t>Leave the terminal open while the demo is running. Press Ctrl+C in that terminal to stop it.</w:t>
      </w:r>
    </w:p>
    <w:p>
      <w:r>
        <w:t>The trained classifier and downloaded ESM-2 weights are local generated files and are intentionally ignored by Git. On a clean setup, install requirements, run the training command once, and then start the app. The first ESM-2 download requires internet access.</w:t>
      </w:r>
    </w:p>
    <w:p>
      <w:pPr>
        <w:pStyle w:val="Heading1"/>
      </w:pPr>
      <w:r>
        <w:t>5  How the split and statistics were done</w:t>
      </w:r>
    </w:p>
    <w:p>
      <w:r>
        <w:t>Similar proteins can share sequence patterns. If a very similar protein appeared in both training and test data, the test score could look better simply because the model saw a related example. To reduce that risk, the project clustered sequences first and kept each cluster in only one partition.</w:t>
      </w:r>
    </w:p>
    <w:p>
      <w:pPr>
        <w:pStyle w:val="ListBullet"/>
        <w:spacing w:after="60"/>
      </w:pPr>
      <w:r>
        <w:t>Pairwise local alignments were used. Two sequences were linked at &gt;=30% sequence identity and &gt;=80% aligned coverage for both proteins. Connected components formed groups, so transitive links stayed together.</w:t>
      </w:r>
    </w:p>
    <w:p>
      <w:pPr>
        <w:pStyle w:val="ListBullet"/>
        <w:spacing w:after="60"/>
      </w:pPr>
      <w:r>
        <w:t>A fixed-seed (42) grouped split was used: approximately 70% training, 15% validation, and 15% test. GroupShuffleSplit was used for an outer test split and inner validation split. The code searched deterministic seeds until all three partitions had both labels and no cluster crossed partitions.</w:t>
      </w:r>
    </w:p>
    <w:p>
      <w:pPr>
        <w:pStyle w:val="ListBullet"/>
        <w:spacing w:after="60"/>
      </w:pPr>
      <w:r>
        <w:t>The model was fit on training only. The threshold was selected by the best F1 on validation, across 181 candidate cutoffs from 0.05 to 0.95. Test data were then used once to report final metrics.</w:t>
      </w:r>
    </w:p>
    <w:p>
      <w:pPr>
        <w:pStyle w:val="ListBullet"/>
        <w:spacing w:after="60"/>
      </w:pPr>
      <w:r>
        <w:t>The training pipeline standardized the embedding dimensions and fit L2-regularized logistic regression with class_weight='balanced'. There was no hyperparameter search, confidence interval, repeated cross-validation, probability calibration, or external test cohort in this run.</w:t>
      </w:r>
    </w:p>
    <w:p>
      <w:pPr>
        <w:pStyle w:val="Heading2"/>
      </w:pPr>
      <w:r>
        <w:t>Split sizes</w:t>
      </w:r>
    </w:p>
    <w:tbl>
      <w:tblPr>
        <w:tblStyle w:val="TableGrid"/>
        <w:tblW w:type="auto" w:w="0"/>
        <w:tblLayout w:type="fixed"/>
        <w:tblLook w:firstColumn="1" w:firstRow="1" w:lastColumn="0" w:lastRow="0" w:noHBand="0" w:noVBand="1" w:val="04A0"/>
      </w:tblPr>
      <w:tblGrid>
        <w:gridCol w:w="3504"/>
        <w:gridCol w:w="3504"/>
        <w:gridCol w:w="3504"/>
      </w:tblGrid>
      <w:tr>
        <w:trPr>
          <w:tblHeader w:val="true"/>
        </w:trPr>
        <w:tc>
          <w:tcPr>
            <w:tcW w:type="dxa" w:w="1872"/>
            <w:shd w:fill="17324D"/>
            <w:vAlign w:val="center"/>
            <w:tcMar>
              <w:top w:w="90" w:type="dxa"/>
              <w:start w:w="110" w:type="dxa"/>
              <w:bottom w:w="90" w:type="dxa"/>
              <w:end w:w="110" w:type="dxa"/>
            </w:tcMar>
          </w:tcPr>
          <w:p>
            <w:pPr>
              <w:spacing w:after="0"/>
            </w:pPr>
            <w:r>
              <w:rPr>
                <w:b/>
                <w:color w:val="FFFFFF"/>
                <w:sz w:val="17"/>
              </w:rPr>
              <w:t>Partition</w:t>
            </w:r>
          </w:p>
        </w:tc>
        <w:tc>
          <w:tcPr>
            <w:tcW w:type="dxa" w:w="3672"/>
            <w:shd w:fill="17324D"/>
            <w:vAlign w:val="center"/>
            <w:tcMar>
              <w:top w:w="90" w:type="dxa"/>
              <w:start w:w="110" w:type="dxa"/>
              <w:bottom w:w="90" w:type="dxa"/>
              <w:end w:w="110" w:type="dxa"/>
            </w:tcMar>
          </w:tcPr>
          <w:p>
            <w:pPr>
              <w:spacing w:after="0"/>
            </w:pPr>
            <w:r>
              <w:rPr>
                <w:b/>
                <w:color w:val="FFFFFF"/>
                <w:sz w:val="17"/>
              </w:rPr>
              <w:t>Rows positive / candidate-negative</w:t>
            </w:r>
          </w:p>
        </w:tc>
        <w:tc>
          <w:tcPr>
            <w:tcW w:type="dxa" w:w="5112"/>
            <w:shd w:fill="17324D"/>
            <w:vAlign w:val="center"/>
            <w:tcMar>
              <w:top w:w="90" w:type="dxa"/>
              <w:start w:w="110" w:type="dxa"/>
              <w:bottom w:w="90" w:type="dxa"/>
              <w:end w:w="110" w:type="dxa"/>
            </w:tcMar>
          </w:tcPr>
          <w:p>
            <w:pPr>
              <w:spacing w:after="0"/>
            </w:pPr>
            <w:r>
              <w:rPr>
                <w:b/>
                <w:color w:val="FFFFFF"/>
                <w:sz w:val="17"/>
              </w:rPr>
              <w:t>Independent groups positive / candidate-negative</w:t>
            </w:r>
          </w:p>
        </w:tc>
      </w:tr>
      <w:tr>
        <w:trPr>
          <w:cantSplit/>
        </w:trPr>
        <w:tc>
          <w:tcPr>
            <w:tcW w:type="dxa" w:w="1872"/>
            <w:vAlign w:val="top"/>
            <w:tcMar>
              <w:top w:w="90" w:type="dxa"/>
              <w:start w:w="110" w:type="dxa"/>
              <w:bottom w:w="90" w:type="dxa"/>
              <w:end w:w="110" w:type="dxa"/>
            </w:tcMar>
          </w:tcPr>
          <w:p>
            <w:pPr>
              <w:spacing w:after="0" w:line="250" w:lineRule="auto"/>
            </w:pPr>
            <w:r>
              <w:rPr>
                <w:sz w:val="17"/>
              </w:rPr>
              <w:t>Train</w:t>
            </w:r>
          </w:p>
        </w:tc>
        <w:tc>
          <w:tcPr>
            <w:tcW w:type="dxa" w:w="3672"/>
            <w:vAlign w:val="top"/>
            <w:tcMar>
              <w:top w:w="90" w:type="dxa"/>
              <w:start w:w="110" w:type="dxa"/>
              <w:bottom w:w="90" w:type="dxa"/>
              <w:end w:w="110" w:type="dxa"/>
            </w:tcMar>
          </w:tcPr>
          <w:p>
            <w:pPr>
              <w:spacing w:after="0" w:line="250" w:lineRule="auto"/>
            </w:pPr>
            <w:r>
              <w:rPr>
                <w:sz w:val="17"/>
              </w:rPr>
              <w:t>40 / 6 (46 total)</w:t>
            </w:r>
          </w:p>
        </w:tc>
        <w:tc>
          <w:tcPr>
            <w:tcW w:type="dxa" w:w="5112"/>
            <w:vAlign w:val="top"/>
            <w:tcMar>
              <w:top w:w="90" w:type="dxa"/>
              <w:start w:w="110" w:type="dxa"/>
              <w:bottom w:w="90" w:type="dxa"/>
              <w:end w:w="110" w:type="dxa"/>
            </w:tcMar>
          </w:tcPr>
          <w:p>
            <w:pPr>
              <w:spacing w:after="0" w:line="250" w:lineRule="auto"/>
            </w:pPr>
            <w:r>
              <w:rPr>
                <w:sz w:val="17"/>
              </w:rPr>
              <w:t>36 / 6 (42 total)</w:t>
            </w:r>
          </w:p>
        </w:tc>
      </w:tr>
      <w:tr>
        <w:trPr>
          <w:cantSplit/>
        </w:trPr>
        <w:tc>
          <w:tcPr>
            <w:tcW w:type="dxa" w:w="1872"/>
            <w:vAlign w:val="top"/>
            <w:tcMar>
              <w:top w:w="90" w:type="dxa"/>
              <w:start w:w="110" w:type="dxa"/>
              <w:bottom w:w="90" w:type="dxa"/>
              <w:end w:w="110" w:type="dxa"/>
            </w:tcMar>
          </w:tcPr>
          <w:p>
            <w:pPr>
              <w:spacing w:after="0" w:line="250" w:lineRule="auto"/>
            </w:pPr>
            <w:r>
              <w:rPr>
                <w:sz w:val="17"/>
              </w:rPr>
              <w:t>Validation</w:t>
            </w:r>
          </w:p>
        </w:tc>
        <w:tc>
          <w:tcPr>
            <w:tcW w:type="dxa" w:w="3672"/>
            <w:vAlign w:val="top"/>
            <w:tcMar>
              <w:top w:w="90" w:type="dxa"/>
              <w:start w:w="110" w:type="dxa"/>
              <w:bottom w:w="90" w:type="dxa"/>
              <w:end w:w="110" w:type="dxa"/>
            </w:tcMar>
          </w:tcPr>
          <w:p>
            <w:pPr>
              <w:spacing w:after="0" w:line="250" w:lineRule="auto"/>
            </w:pPr>
            <w:r>
              <w:rPr>
                <w:sz w:val="17"/>
              </w:rPr>
              <w:t>7 / 2 (9 total)</w:t>
            </w:r>
          </w:p>
        </w:tc>
        <w:tc>
          <w:tcPr>
            <w:tcW w:type="dxa" w:w="5112"/>
            <w:vAlign w:val="top"/>
            <w:tcMar>
              <w:top w:w="90" w:type="dxa"/>
              <w:start w:w="110" w:type="dxa"/>
              <w:bottom w:w="90" w:type="dxa"/>
              <w:end w:w="110" w:type="dxa"/>
            </w:tcMar>
          </w:tcPr>
          <w:p>
            <w:pPr>
              <w:spacing w:after="0" w:line="250" w:lineRule="auto"/>
            </w:pPr>
            <w:r>
              <w:rPr>
                <w:sz w:val="17"/>
              </w:rPr>
              <w:t>7 / 2 (9 total)</w:t>
            </w:r>
          </w:p>
        </w:tc>
      </w:tr>
      <w:tr>
        <w:trPr>
          <w:cantSplit/>
        </w:trPr>
        <w:tc>
          <w:tcPr>
            <w:tcW w:type="dxa" w:w="1872"/>
            <w:vAlign w:val="top"/>
            <w:tcMar>
              <w:top w:w="90" w:type="dxa"/>
              <w:start w:w="110" w:type="dxa"/>
              <w:bottom w:w="90" w:type="dxa"/>
              <w:end w:w="110" w:type="dxa"/>
            </w:tcMar>
          </w:tcPr>
          <w:p>
            <w:pPr>
              <w:spacing w:after="0" w:line="250" w:lineRule="auto"/>
            </w:pPr>
            <w:r>
              <w:rPr>
                <w:sz w:val="17"/>
              </w:rPr>
              <w:t>Test</w:t>
            </w:r>
          </w:p>
        </w:tc>
        <w:tc>
          <w:tcPr>
            <w:tcW w:type="dxa" w:w="3672"/>
            <w:vAlign w:val="top"/>
            <w:tcMar>
              <w:top w:w="90" w:type="dxa"/>
              <w:start w:w="110" w:type="dxa"/>
              <w:bottom w:w="90" w:type="dxa"/>
              <w:end w:w="110" w:type="dxa"/>
            </w:tcMar>
          </w:tcPr>
          <w:p>
            <w:pPr>
              <w:spacing w:after="0" w:line="250" w:lineRule="auto"/>
            </w:pPr>
            <w:r>
              <w:rPr>
                <w:sz w:val="17"/>
              </w:rPr>
              <w:t>9 / 2 (11 total)</w:t>
            </w:r>
          </w:p>
        </w:tc>
        <w:tc>
          <w:tcPr>
            <w:tcW w:type="dxa" w:w="5112"/>
            <w:vAlign w:val="top"/>
            <w:tcMar>
              <w:top w:w="90" w:type="dxa"/>
              <w:start w:w="110" w:type="dxa"/>
              <w:bottom w:w="90" w:type="dxa"/>
              <w:end w:w="110" w:type="dxa"/>
            </w:tcMar>
          </w:tcPr>
          <w:p>
            <w:pPr>
              <w:spacing w:after="0" w:line="250" w:lineRule="auto"/>
            </w:pPr>
            <w:r>
              <w:rPr>
                <w:sz w:val="17"/>
              </w:rPr>
              <w:t>8 / 2 (10 total)</w:t>
            </w:r>
          </w:p>
        </w:tc>
      </w:tr>
    </w:tbl>
    <w:p>
      <w:pPr>
        <w:spacing w:after="40"/>
      </w:pPr>
    </w:p>
    <w:p>
      <w:pPr>
        <w:pStyle w:val="Heading2"/>
      </w:pPr>
      <w:r>
        <w:t>Held-out test results</w:t>
      </w:r>
    </w:p>
    <w:tbl>
      <w:tblPr>
        <w:tblStyle w:val="TableGrid"/>
        <w:tblW w:type="auto" w:w="0"/>
        <w:tblLayout w:type="fixed"/>
        <w:tblLook w:firstColumn="1" w:firstRow="1" w:lastColumn="0" w:lastRow="0" w:noHBand="0" w:noVBand="1" w:val="04A0"/>
      </w:tblPr>
      <w:tblGrid>
        <w:gridCol w:w="3504"/>
        <w:gridCol w:w="3504"/>
        <w:gridCol w:w="3504"/>
      </w:tblGrid>
      <w:tr>
        <w:trPr>
          <w:tblHeader w:val="true"/>
        </w:trPr>
        <w:tc>
          <w:tcPr>
            <w:tcW w:type="dxa" w:w="2088"/>
            <w:shd w:fill="17324D"/>
            <w:vAlign w:val="center"/>
            <w:tcMar>
              <w:top w:w="90" w:type="dxa"/>
              <w:start w:w="110" w:type="dxa"/>
              <w:bottom w:w="90" w:type="dxa"/>
              <w:end w:w="110" w:type="dxa"/>
            </w:tcMar>
          </w:tcPr>
          <w:p>
            <w:pPr>
              <w:spacing w:after="0"/>
            </w:pPr>
            <w:r>
              <w:rPr>
                <w:b/>
                <w:color w:val="FFFFFF"/>
                <w:sz w:val="16"/>
              </w:rPr>
              <w:t>Metric</w:t>
            </w:r>
          </w:p>
        </w:tc>
        <w:tc>
          <w:tcPr>
            <w:tcW w:type="dxa" w:w="1800"/>
            <w:shd w:fill="17324D"/>
            <w:vAlign w:val="center"/>
            <w:tcMar>
              <w:top w:w="90" w:type="dxa"/>
              <w:start w:w="110" w:type="dxa"/>
              <w:bottom w:w="90" w:type="dxa"/>
              <w:end w:w="110" w:type="dxa"/>
            </w:tcMar>
          </w:tcPr>
          <w:p>
            <w:pPr>
              <w:spacing w:after="0"/>
            </w:pPr>
            <w:r>
              <w:rPr>
                <w:b/>
                <w:color w:val="FFFFFF"/>
                <w:sz w:val="16"/>
              </w:rPr>
              <w:t>Result</w:t>
            </w:r>
          </w:p>
        </w:tc>
        <w:tc>
          <w:tcPr>
            <w:tcW w:type="dxa" w:w="6768"/>
            <w:shd w:fill="17324D"/>
            <w:vAlign w:val="center"/>
            <w:tcMar>
              <w:top w:w="90" w:type="dxa"/>
              <w:start w:w="110" w:type="dxa"/>
              <w:bottom w:w="90" w:type="dxa"/>
              <w:end w:w="110" w:type="dxa"/>
            </w:tcMar>
          </w:tcPr>
          <w:p>
            <w:pPr>
              <w:spacing w:after="0"/>
            </w:pPr>
            <w:r>
              <w:rPr>
                <w:b/>
                <w:color w:val="FFFFFF"/>
                <w:sz w:val="16"/>
              </w:rPr>
              <w:t>Plain-language meaning</w:t>
            </w:r>
          </w:p>
        </w:tc>
      </w:tr>
      <w:tr>
        <w:trPr>
          <w:cantSplit/>
        </w:trPr>
        <w:tc>
          <w:tcPr>
            <w:tcW w:type="dxa" w:w="2088"/>
            <w:vAlign w:val="top"/>
            <w:tcMar>
              <w:top w:w="90" w:type="dxa"/>
              <w:start w:w="110" w:type="dxa"/>
              <w:bottom w:w="90" w:type="dxa"/>
              <w:end w:w="110" w:type="dxa"/>
            </w:tcMar>
          </w:tcPr>
          <w:p>
            <w:pPr>
              <w:spacing w:after="0" w:line="250" w:lineRule="auto"/>
            </w:pPr>
            <w:r>
              <w:rPr>
                <w:sz w:val="16"/>
              </w:rPr>
              <w:t>Accuracy</w:t>
            </w:r>
          </w:p>
        </w:tc>
        <w:tc>
          <w:tcPr>
            <w:tcW w:type="dxa" w:w="1800"/>
            <w:vAlign w:val="top"/>
            <w:tcMar>
              <w:top w:w="90" w:type="dxa"/>
              <w:start w:w="110" w:type="dxa"/>
              <w:bottom w:w="90" w:type="dxa"/>
              <w:end w:w="110" w:type="dxa"/>
            </w:tcMar>
          </w:tcPr>
          <w:p>
            <w:pPr>
              <w:spacing w:after="0" w:line="250" w:lineRule="auto"/>
            </w:pPr>
            <w:r>
              <w:rPr>
                <w:sz w:val="16"/>
              </w:rPr>
              <w:t>72.7% (8/11)</w:t>
            </w:r>
          </w:p>
        </w:tc>
        <w:tc>
          <w:tcPr>
            <w:tcW w:type="dxa" w:w="6768"/>
            <w:vAlign w:val="top"/>
            <w:tcMar>
              <w:top w:w="90" w:type="dxa"/>
              <w:start w:w="110" w:type="dxa"/>
              <w:bottom w:w="90" w:type="dxa"/>
              <w:end w:w="110" w:type="dxa"/>
            </w:tcMar>
          </w:tcPr>
          <w:p>
            <w:pPr>
              <w:spacing w:after="0" w:line="250" w:lineRule="auto"/>
            </w:pPr>
            <w:r>
              <w:rPr>
                <w:sz w:val="16"/>
              </w:rPr>
              <w:t>Fraction of test examples classified correctly; here it hides poor negative-class performance.</w:t>
            </w:r>
          </w:p>
        </w:tc>
      </w:tr>
      <w:tr>
        <w:trPr>
          <w:cantSplit/>
        </w:trPr>
        <w:tc>
          <w:tcPr>
            <w:tcW w:type="dxa" w:w="2088"/>
            <w:vAlign w:val="top"/>
            <w:tcMar>
              <w:top w:w="90" w:type="dxa"/>
              <w:start w:w="110" w:type="dxa"/>
              <w:bottom w:w="90" w:type="dxa"/>
              <w:end w:w="110" w:type="dxa"/>
            </w:tcMar>
          </w:tcPr>
          <w:p>
            <w:pPr>
              <w:spacing w:after="0" w:line="250" w:lineRule="auto"/>
            </w:pPr>
            <w:r>
              <w:rPr>
                <w:sz w:val="16"/>
              </w:rPr>
              <w:t>Precision</w:t>
            </w:r>
          </w:p>
        </w:tc>
        <w:tc>
          <w:tcPr>
            <w:tcW w:type="dxa" w:w="1800"/>
            <w:vAlign w:val="top"/>
            <w:tcMar>
              <w:top w:w="90" w:type="dxa"/>
              <w:start w:w="110" w:type="dxa"/>
              <w:bottom w:w="90" w:type="dxa"/>
              <w:end w:w="110" w:type="dxa"/>
            </w:tcMar>
          </w:tcPr>
          <w:p>
            <w:pPr>
              <w:spacing w:after="0" w:line="250" w:lineRule="auto"/>
            </w:pPr>
            <w:r>
              <w:rPr>
                <w:sz w:val="16"/>
              </w:rPr>
              <w:t>80.0% (8/10)</w:t>
            </w:r>
          </w:p>
        </w:tc>
        <w:tc>
          <w:tcPr>
            <w:tcW w:type="dxa" w:w="6768"/>
            <w:vAlign w:val="top"/>
            <w:tcMar>
              <w:top w:w="90" w:type="dxa"/>
              <w:start w:w="110" w:type="dxa"/>
              <w:bottom w:w="90" w:type="dxa"/>
              <w:end w:w="110" w:type="dxa"/>
            </w:tcMar>
          </w:tcPr>
          <w:p>
            <w:pPr>
              <w:spacing w:after="0" w:line="250" w:lineRule="auto"/>
            </w:pPr>
            <w:r>
              <w:rPr>
                <w:sz w:val="16"/>
              </w:rPr>
              <w:t>Of 10 proteins called positive, 8 were positive in this test set.</w:t>
            </w:r>
          </w:p>
        </w:tc>
      </w:tr>
      <w:tr>
        <w:trPr>
          <w:cantSplit/>
        </w:trPr>
        <w:tc>
          <w:tcPr>
            <w:tcW w:type="dxa" w:w="2088"/>
            <w:vAlign w:val="top"/>
            <w:tcMar>
              <w:top w:w="90" w:type="dxa"/>
              <w:start w:w="110" w:type="dxa"/>
              <w:bottom w:w="90" w:type="dxa"/>
              <w:end w:w="110" w:type="dxa"/>
            </w:tcMar>
          </w:tcPr>
          <w:p>
            <w:pPr>
              <w:spacing w:after="0" w:line="250" w:lineRule="auto"/>
            </w:pPr>
            <w:r>
              <w:rPr>
                <w:sz w:val="16"/>
              </w:rPr>
              <w:t>Recall</w:t>
            </w:r>
          </w:p>
        </w:tc>
        <w:tc>
          <w:tcPr>
            <w:tcW w:type="dxa" w:w="1800"/>
            <w:vAlign w:val="top"/>
            <w:tcMar>
              <w:top w:w="90" w:type="dxa"/>
              <w:start w:w="110" w:type="dxa"/>
              <w:bottom w:w="90" w:type="dxa"/>
              <w:end w:w="110" w:type="dxa"/>
            </w:tcMar>
          </w:tcPr>
          <w:p>
            <w:pPr>
              <w:spacing w:after="0" w:line="250" w:lineRule="auto"/>
            </w:pPr>
            <w:r>
              <w:rPr>
                <w:sz w:val="16"/>
              </w:rPr>
              <w:t>88.9% (8/9)</w:t>
            </w:r>
          </w:p>
        </w:tc>
        <w:tc>
          <w:tcPr>
            <w:tcW w:type="dxa" w:w="6768"/>
            <w:vAlign w:val="top"/>
            <w:tcMar>
              <w:top w:w="90" w:type="dxa"/>
              <w:start w:w="110" w:type="dxa"/>
              <w:bottom w:w="90" w:type="dxa"/>
              <w:end w:w="110" w:type="dxa"/>
            </w:tcMar>
          </w:tcPr>
          <w:p>
            <w:pPr>
              <w:spacing w:after="0" w:line="250" w:lineRule="auto"/>
            </w:pPr>
            <w:r>
              <w:rPr>
                <w:sz w:val="16"/>
              </w:rPr>
              <w:t>Of 9 positive proteins, 8 were called positive.</w:t>
            </w:r>
          </w:p>
        </w:tc>
      </w:tr>
      <w:tr>
        <w:trPr>
          <w:cantSplit/>
        </w:trPr>
        <w:tc>
          <w:tcPr>
            <w:tcW w:type="dxa" w:w="2088"/>
            <w:vAlign w:val="top"/>
            <w:tcMar>
              <w:top w:w="90" w:type="dxa"/>
              <w:start w:w="110" w:type="dxa"/>
              <w:bottom w:w="90" w:type="dxa"/>
              <w:end w:w="110" w:type="dxa"/>
            </w:tcMar>
          </w:tcPr>
          <w:p>
            <w:pPr>
              <w:spacing w:after="0" w:line="250" w:lineRule="auto"/>
            </w:pPr>
            <w:r>
              <w:rPr>
                <w:sz w:val="16"/>
              </w:rPr>
              <w:t>F1</w:t>
            </w:r>
          </w:p>
        </w:tc>
        <w:tc>
          <w:tcPr>
            <w:tcW w:type="dxa" w:w="1800"/>
            <w:vAlign w:val="top"/>
            <w:tcMar>
              <w:top w:w="90" w:type="dxa"/>
              <w:start w:w="110" w:type="dxa"/>
              <w:bottom w:w="90" w:type="dxa"/>
              <w:end w:w="110" w:type="dxa"/>
            </w:tcMar>
          </w:tcPr>
          <w:p>
            <w:pPr>
              <w:spacing w:after="0" w:line="250" w:lineRule="auto"/>
            </w:pPr>
            <w:r>
              <w:rPr>
                <w:sz w:val="16"/>
              </w:rPr>
              <w:t>0.842</w:t>
            </w:r>
          </w:p>
        </w:tc>
        <w:tc>
          <w:tcPr>
            <w:tcW w:type="dxa" w:w="6768"/>
            <w:vAlign w:val="top"/>
            <w:tcMar>
              <w:top w:w="90" w:type="dxa"/>
              <w:start w:w="110" w:type="dxa"/>
              <w:bottom w:w="90" w:type="dxa"/>
              <w:end w:w="110" w:type="dxa"/>
            </w:tcMar>
          </w:tcPr>
          <w:p>
            <w:pPr>
              <w:spacing w:after="0" w:line="250" w:lineRule="auto"/>
            </w:pPr>
            <w:r>
              <w:rPr>
                <w:sz w:val="16"/>
              </w:rPr>
              <w:t>A combined summary of precision and recall for the positive class.</w:t>
            </w:r>
          </w:p>
        </w:tc>
      </w:tr>
      <w:tr>
        <w:trPr>
          <w:cantSplit/>
        </w:trPr>
        <w:tc>
          <w:tcPr>
            <w:tcW w:type="dxa" w:w="2088"/>
            <w:vAlign w:val="top"/>
            <w:tcMar>
              <w:top w:w="90" w:type="dxa"/>
              <w:start w:w="110" w:type="dxa"/>
              <w:bottom w:w="90" w:type="dxa"/>
              <w:end w:w="110" w:type="dxa"/>
            </w:tcMar>
          </w:tcPr>
          <w:p>
            <w:pPr>
              <w:spacing w:after="0" w:line="250" w:lineRule="auto"/>
            </w:pPr>
            <w:r>
              <w:rPr>
                <w:sz w:val="16"/>
              </w:rPr>
              <w:t>Balanced accuracy</w:t>
            </w:r>
          </w:p>
        </w:tc>
        <w:tc>
          <w:tcPr>
            <w:tcW w:type="dxa" w:w="1800"/>
            <w:vAlign w:val="top"/>
            <w:tcMar>
              <w:top w:w="90" w:type="dxa"/>
              <w:start w:w="110" w:type="dxa"/>
              <w:bottom w:w="90" w:type="dxa"/>
              <w:end w:w="110" w:type="dxa"/>
            </w:tcMar>
          </w:tcPr>
          <w:p>
            <w:pPr>
              <w:spacing w:after="0" w:line="250" w:lineRule="auto"/>
            </w:pPr>
            <w:r>
              <w:rPr>
                <w:sz w:val="16"/>
              </w:rPr>
              <w:t>44.4%</w:t>
            </w:r>
          </w:p>
        </w:tc>
        <w:tc>
          <w:tcPr>
            <w:tcW w:type="dxa" w:w="6768"/>
            <w:vAlign w:val="top"/>
            <w:tcMar>
              <w:top w:w="90" w:type="dxa"/>
              <w:start w:w="110" w:type="dxa"/>
              <w:bottom w:w="90" w:type="dxa"/>
              <w:end w:w="110" w:type="dxa"/>
            </w:tcMar>
          </w:tcPr>
          <w:p>
            <w:pPr>
              <w:spacing w:after="0" w:line="250" w:lineRule="auto"/>
            </w:pPr>
            <w:r>
              <w:rPr>
                <w:sz w:val="16"/>
              </w:rPr>
              <w:t>Average of positive sensitivity (88.9%) and negative specificity (0%).</w:t>
            </w:r>
          </w:p>
        </w:tc>
      </w:tr>
      <w:tr>
        <w:trPr>
          <w:cantSplit/>
        </w:trPr>
        <w:tc>
          <w:tcPr>
            <w:tcW w:type="dxa" w:w="2088"/>
            <w:vAlign w:val="top"/>
            <w:tcMar>
              <w:top w:w="90" w:type="dxa"/>
              <w:start w:w="110" w:type="dxa"/>
              <w:bottom w:w="90" w:type="dxa"/>
              <w:end w:w="110" w:type="dxa"/>
            </w:tcMar>
          </w:tcPr>
          <w:p>
            <w:pPr>
              <w:spacing w:after="0" w:line="250" w:lineRule="auto"/>
            </w:pPr>
            <w:r>
              <w:rPr>
                <w:sz w:val="16"/>
              </w:rPr>
              <w:t>PR-AUC / average precision</w:t>
            </w:r>
          </w:p>
        </w:tc>
        <w:tc>
          <w:tcPr>
            <w:tcW w:type="dxa" w:w="1800"/>
            <w:vAlign w:val="top"/>
            <w:tcMar>
              <w:top w:w="90" w:type="dxa"/>
              <w:start w:w="110" w:type="dxa"/>
              <w:bottom w:w="90" w:type="dxa"/>
              <w:end w:w="110" w:type="dxa"/>
            </w:tcMar>
          </w:tcPr>
          <w:p>
            <w:pPr>
              <w:spacing w:after="0" w:line="250" w:lineRule="auto"/>
            </w:pPr>
            <w:r>
              <w:rPr>
                <w:sz w:val="16"/>
              </w:rPr>
              <w:t>0.716</w:t>
            </w:r>
          </w:p>
        </w:tc>
        <w:tc>
          <w:tcPr>
            <w:tcW w:type="dxa" w:w="6768"/>
            <w:vAlign w:val="top"/>
            <w:tcMar>
              <w:top w:w="90" w:type="dxa"/>
              <w:start w:w="110" w:type="dxa"/>
              <w:bottom w:w="90" w:type="dxa"/>
              <w:end w:w="110" w:type="dxa"/>
            </w:tcMar>
          </w:tcPr>
          <w:p>
            <w:pPr>
              <w:spacing w:after="0" w:line="250" w:lineRule="auto"/>
            </w:pPr>
            <w:r>
              <w:rPr>
                <w:sz w:val="16"/>
              </w:rPr>
              <w:t>Summarizes precision/recall ranking. Here 9/11 test examples are positive (about 0.82), so 0.716 is not strong evidence of performance.</w:t>
            </w:r>
          </w:p>
        </w:tc>
      </w:tr>
      <w:tr>
        <w:trPr>
          <w:cantSplit/>
        </w:trPr>
        <w:tc>
          <w:tcPr>
            <w:tcW w:type="dxa" w:w="2088"/>
            <w:vAlign w:val="top"/>
            <w:tcMar>
              <w:top w:w="90" w:type="dxa"/>
              <w:start w:w="110" w:type="dxa"/>
              <w:bottom w:w="90" w:type="dxa"/>
              <w:end w:w="110" w:type="dxa"/>
            </w:tcMar>
          </w:tcPr>
          <w:p>
            <w:pPr>
              <w:spacing w:after="0" w:line="250" w:lineRule="auto"/>
            </w:pPr>
            <w:r>
              <w:rPr>
                <w:sz w:val="16"/>
              </w:rPr>
              <w:t>ROC-AUC</w:t>
            </w:r>
          </w:p>
        </w:tc>
        <w:tc>
          <w:tcPr>
            <w:tcW w:type="dxa" w:w="1800"/>
            <w:vAlign w:val="top"/>
            <w:tcMar>
              <w:top w:w="90" w:type="dxa"/>
              <w:start w:w="110" w:type="dxa"/>
              <w:bottom w:w="90" w:type="dxa"/>
              <w:end w:w="110" w:type="dxa"/>
            </w:tcMar>
          </w:tcPr>
          <w:p>
            <w:pPr>
              <w:spacing w:after="0" w:line="250" w:lineRule="auto"/>
            </w:pPr>
            <w:r>
              <w:rPr>
                <w:sz w:val="16"/>
              </w:rPr>
              <w:t>0.167</w:t>
            </w:r>
          </w:p>
        </w:tc>
        <w:tc>
          <w:tcPr>
            <w:tcW w:type="dxa" w:w="6768"/>
            <w:vAlign w:val="top"/>
            <w:tcMar>
              <w:top w:w="90" w:type="dxa"/>
              <w:start w:w="110" w:type="dxa"/>
              <w:bottom w:w="90" w:type="dxa"/>
              <w:end w:w="110" w:type="dxa"/>
            </w:tcMar>
          </w:tcPr>
          <w:p>
            <w:pPr>
              <w:spacing w:after="0" w:line="250" w:lineRule="auto"/>
            </w:pPr>
            <w:r>
              <w:rPr>
                <w:sz w:val="16"/>
              </w:rPr>
              <w:t>Measures ranking of positives above negatives; this split shows poor ranking, but only two negatives were tested.</w:t>
            </w:r>
          </w:p>
        </w:tc>
      </w:tr>
    </w:tbl>
    <w:p>
      <w:pPr>
        <w:spacing w:after="40"/>
      </w:pPr>
    </w:p>
    <w:tbl>
      <w:tblPr>
        <w:tblStyle w:val="TableGrid"/>
        <w:tblW w:type="auto" w:w="0"/>
        <w:tblLayout w:type="fixed"/>
        <w:tblLook w:firstColumn="1" w:firstRow="1" w:lastColumn="0" w:lastRow="0" w:noHBand="0" w:noVBand="1" w:val="04A0"/>
      </w:tblPr>
      <w:tblGrid>
        <w:gridCol w:w="3504"/>
        <w:gridCol w:w="3504"/>
        <w:gridCol w:w="3504"/>
      </w:tblGrid>
      <w:tr>
        <w:trPr>
          <w:tblHeader w:val="true"/>
        </w:trPr>
        <w:tc>
          <w:tcPr>
            <w:tcW w:type="dxa" w:w="3024"/>
            <w:shd w:fill="17324D"/>
            <w:vAlign w:val="center"/>
            <w:tcMar>
              <w:top w:w="90" w:type="dxa"/>
              <w:start w:w="110" w:type="dxa"/>
              <w:bottom w:w="90" w:type="dxa"/>
              <w:end w:w="110" w:type="dxa"/>
            </w:tcMar>
          </w:tcPr>
          <w:p>
            <w:pPr>
              <w:spacing w:after="0"/>
            </w:pPr>
            <w:r>
              <w:rPr>
                <w:b/>
                <w:color w:val="FFFFFF"/>
                <w:sz w:val="17"/>
              </w:rPr>
              <w:t>Actual class</w:t>
            </w:r>
          </w:p>
        </w:tc>
        <w:tc>
          <w:tcPr>
            <w:tcW w:type="dxa" w:w="3528"/>
            <w:shd w:fill="17324D"/>
            <w:vAlign w:val="center"/>
            <w:tcMar>
              <w:top w:w="90" w:type="dxa"/>
              <w:start w:w="110" w:type="dxa"/>
              <w:bottom w:w="90" w:type="dxa"/>
              <w:end w:w="110" w:type="dxa"/>
            </w:tcMar>
          </w:tcPr>
          <w:p>
            <w:pPr>
              <w:spacing w:after="0"/>
            </w:pPr>
            <w:r>
              <w:rPr>
                <w:b/>
                <w:color w:val="FFFFFF"/>
                <w:sz w:val="17"/>
              </w:rPr>
              <w:t>Predicted candidate-negative</w:t>
            </w:r>
          </w:p>
        </w:tc>
        <w:tc>
          <w:tcPr>
            <w:tcW w:type="dxa" w:w="4104"/>
            <w:shd w:fill="17324D"/>
            <w:vAlign w:val="center"/>
            <w:tcMar>
              <w:top w:w="90" w:type="dxa"/>
              <w:start w:w="110" w:type="dxa"/>
              <w:bottom w:w="90" w:type="dxa"/>
              <w:end w:w="110" w:type="dxa"/>
            </w:tcMar>
          </w:tcPr>
          <w:p>
            <w:pPr>
              <w:spacing w:after="0"/>
            </w:pPr>
            <w:r>
              <w:rPr>
                <w:b/>
                <w:color w:val="FFFFFF"/>
                <w:sz w:val="17"/>
              </w:rPr>
              <w:t>Predicted positive</w:t>
            </w:r>
          </w:p>
        </w:tc>
      </w:tr>
      <w:tr>
        <w:trPr>
          <w:cantSplit/>
        </w:trPr>
        <w:tc>
          <w:tcPr>
            <w:tcW w:type="dxa" w:w="3024"/>
            <w:vAlign w:val="top"/>
            <w:tcMar>
              <w:top w:w="90" w:type="dxa"/>
              <w:start w:w="110" w:type="dxa"/>
              <w:bottom w:w="90" w:type="dxa"/>
              <w:end w:w="110" w:type="dxa"/>
            </w:tcMar>
          </w:tcPr>
          <w:p>
            <w:pPr>
              <w:spacing w:after="0" w:line="250" w:lineRule="auto"/>
            </w:pPr>
            <w:r>
              <w:rPr>
                <w:sz w:val="17"/>
              </w:rPr>
              <w:t>Candidate-negative (2)</w:t>
            </w:r>
          </w:p>
        </w:tc>
        <w:tc>
          <w:tcPr>
            <w:tcW w:type="dxa" w:w="3528"/>
            <w:vAlign w:val="top"/>
            <w:tcMar>
              <w:top w:w="90" w:type="dxa"/>
              <w:start w:w="110" w:type="dxa"/>
              <w:bottom w:w="90" w:type="dxa"/>
              <w:end w:w="110" w:type="dxa"/>
            </w:tcMar>
          </w:tcPr>
          <w:p>
            <w:pPr>
              <w:spacing w:after="0" w:line="250" w:lineRule="auto"/>
            </w:pPr>
            <w:r>
              <w:rPr>
                <w:sz w:val="17"/>
              </w:rPr>
              <w:t>0 true negatives</w:t>
            </w:r>
          </w:p>
        </w:tc>
        <w:tc>
          <w:tcPr>
            <w:tcW w:type="dxa" w:w="4104"/>
            <w:vAlign w:val="top"/>
            <w:tcMar>
              <w:top w:w="90" w:type="dxa"/>
              <w:start w:w="110" w:type="dxa"/>
              <w:bottom w:w="90" w:type="dxa"/>
              <w:end w:w="110" w:type="dxa"/>
            </w:tcMar>
          </w:tcPr>
          <w:p>
            <w:pPr>
              <w:spacing w:after="0" w:line="250" w:lineRule="auto"/>
            </w:pPr>
            <w:r>
              <w:rPr>
                <w:sz w:val="17"/>
              </w:rPr>
              <w:t>2 false positives</w:t>
            </w:r>
          </w:p>
        </w:tc>
      </w:tr>
      <w:tr>
        <w:trPr>
          <w:cantSplit/>
        </w:trPr>
        <w:tc>
          <w:tcPr>
            <w:tcW w:type="dxa" w:w="3024"/>
            <w:vAlign w:val="top"/>
            <w:tcMar>
              <w:top w:w="90" w:type="dxa"/>
              <w:start w:w="110" w:type="dxa"/>
              <w:bottom w:w="90" w:type="dxa"/>
              <w:end w:w="110" w:type="dxa"/>
            </w:tcMar>
          </w:tcPr>
          <w:p>
            <w:pPr>
              <w:spacing w:after="0" w:line="250" w:lineRule="auto"/>
            </w:pPr>
            <w:r>
              <w:rPr>
                <w:sz w:val="17"/>
              </w:rPr>
              <w:t>Positive (9)</w:t>
            </w:r>
          </w:p>
        </w:tc>
        <w:tc>
          <w:tcPr>
            <w:tcW w:type="dxa" w:w="3528"/>
            <w:vAlign w:val="top"/>
            <w:tcMar>
              <w:top w:w="90" w:type="dxa"/>
              <w:start w:w="110" w:type="dxa"/>
              <w:bottom w:w="90" w:type="dxa"/>
              <w:end w:w="110" w:type="dxa"/>
            </w:tcMar>
          </w:tcPr>
          <w:p>
            <w:pPr>
              <w:spacing w:after="0" w:line="250" w:lineRule="auto"/>
            </w:pPr>
            <w:r>
              <w:rPr>
                <w:sz w:val="17"/>
              </w:rPr>
              <w:t>1 false negative</w:t>
            </w:r>
          </w:p>
        </w:tc>
        <w:tc>
          <w:tcPr>
            <w:tcW w:type="dxa" w:w="4104"/>
            <w:vAlign w:val="top"/>
            <w:tcMar>
              <w:top w:w="90" w:type="dxa"/>
              <w:start w:w="110" w:type="dxa"/>
              <w:bottom w:w="90" w:type="dxa"/>
              <w:end w:w="110" w:type="dxa"/>
            </w:tcMar>
          </w:tcPr>
          <w:p>
            <w:pPr>
              <w:spacing w:after="0" w:line="250" w:lineRule="auto"/>
            </w:pPr>
            <w:r>
              <w:rPr>
                <w:sz w:val="17"/>
              </w:rPr>
              <w:t>8 true positives</w:t>
            </w:r>
          </w:p>
        </w:tc>
      </w:tr>
    </w:tbl>
    <w:p>
      <w:pPr>
        <w:spacing w:after="40"/>
      </w:pPr>
    </w:p>
    <w:tbl>
      <w:tblPr>
        <w:tblW w:type="auto" w:w="0"/>
        <w:tblLayout w:type="autofit"/>
        <w:tblLook w:firstColumn="1" w:firstRow="1" w:lastColumn="0" w:lastRow="0" w:noHBand="0" w:noVBand="1" w:val="04A0"/>
      </w:tblPr>
      <w:tblGrid>
        <w:gridCol w:w="10512"/>
      </w:tblGrid>
      <w:tr>
        <w:trPr>
          <w:cantSplit/>
        </w:trPr>
        <w:tc>
          <w:tcPr>
            <w:tcW w:type="dxa" w:w="10512"/>
            <w:shd w:fill="FFF4DF"/>
            <w:tcMar>
              <w:top w:w="150" w:type="dxa"/>
              <w:start w:w="180" w:type="dxa"/>
              <w:bottom w:w="150" w:type="dxa"/>
              <w:end w:w="180" w:type="dxa"/>
            </w:tcMar>
          </w:tcPr>
          <w:p>
            <w:pPr>
              <w:spacing w:after="60"/>
            </w:pPr>
            <w:r>
              <w:rPr>
                <w:b/>
                <w:color w:val="17324D"/>
              </w:rPr>
              <w:t>What these numbers mean</w:t>
            </w:r>
          </w:p>
          <w:p>
            <w:pPr>
              <w:spacing w:after="0"/>
            </w:pPr>
            <w:r>
              <w:t>The model's F1 and accuracy can appear respectable because most test examples are positive. The model found zero of the two candidate negatives. Balanced accuracy below 50% and ROC-AUC 0.17 warn that the result does not demonstrate useful separation. Two negatives are far too few to estimate performance reliably.</w:t>
            </w:r>
          </w:p>
        </w:tc>
      </w:tr>
    </w:tbl>
    <w:p>
      <w:pPr>
        <w:spacing w:after="20"/>
      </w:pPr>
    </w:p>
    <w:p>
      <w:pPr>
        <w:pStyle w:val="Heading1"/>
      </w:pPr>
      <w:r>
        <w:t>6  What is established and what this project adds</w:t>
      </w:r>
    </w:p>
    <w:tbl>
      <w:tblPr>
        <w:tblStyle w:val="TableGrid"/>
        <w:tblW w:type="auto" w:w="0"/>
        <w:tblLayout w:type="fixed"/>
        <w:tblLook w:firstColumn="1" w:firstRow="1" w:lastColumn="0" w:lastRow="0" w:noHBand="0" w:noVBand="1" w:val="04A0"/>
      </w:tblPr>
      <w:tblGrid>
        <w:gridCol w:w="5256"/>
        <w:gridCol w:w="5256"/>
      </w:tblGrid>
      <w:tr>
        <w:trPr>
          <w:tblHeader w:val="true"/>
        </w:trPr>
        <w:tc>
          <w:tcPr>
            <w:tcW w:type="dxa" w:w="5040"/>
            <w:shd w:fill="17324D"/>
            <w:vAlign w:val="center"/>
            <w:tcMar>
              <w:top w:w="90" w:type="dxa"/>
              <w:start w:w="110" w:type="dxa"/>
              <w:bottom w:w="90" w:type="dxa"/>
              <w:end w:w="110" w:type="dxa"/>
            </w:tcMar>
          </w:tcPr>
          <w:p>
            <w:pPr>
              <w:spacing w:after="0"/>
            </w:pPr>
            <w:r>
              <w:rPr>
                <w:b/>
                <w:color w:val="FFFFFF"/>
                <w:sz w:val="17"/>
              </w:rPr>
              <w:t>Already established or standard</w:t>
            </w:r>
          </w:p>
        </w:tc>
        <w:tc>
          <w:tcPr>
            <w:tcW w:type="dxa" w:w="5040"/>
            <w:shd w:fill="17324D"/>
            <w:vAlign w:val="center"/>
            <w:tcMar>
              <w:top w:w="90" w:type="dxa"/>
              <w:start w:w="110" w:type="dxa"/>
              <w:bottom w:w="90" w:type="dxa"/>
              <w:end w:w="110" w:type="dxa"/>
            </w:tcMar>
          </w:tcPr>
          <w:p>
            <w:pPr>
              <w:spacing w:after="0"/>
            </w:pPr>
            <w:r>
              <w:rPr>
                <w:b/>
                <w:color w:val="FFFFFF"/>
                <w:sz w:val="17"/>
              </w:rPr>
              <w:t>Project-specific work</w:t>
            </w:r>
          </w:p>
        </w:tc>
      </w:tr>
      <w:tr>
        <w:trPr>
          <w:cantSplit/>
        </w:trPr>
        <w:tc>
          <w:tcPr>
            <w:tcW w:type="dxa" w:w="5040"/>
            <w:vAlign w:val="top"/>
            <w:tcMar>
              <w:top w:w="90" w:type="dxa"/>
              <w:start w:w="110" w:type="dxa"/>
              <w:bottom w:w="90" w:type="dxa"/>
              <w:end w:w="110" w:type="dxa"/>
            </w:tcMar>
          </w:tcPr>
          <w:p>
            <w:pPr>
              <w:spacing w:after="0" w:line="250" w:lineRule="auto"/>
            </w:pPr>
            <w:r>
              <w:rPr>
                <w:sz w:val="17"/>
              </w:rPr>
              <w:t>ESM-2 is a pretrained protein sequence model developed by the ESM research team.</w:t>
            </w:r>
          </w:p>
        </w:tc>
        <w:tc>
          <w:tcPr>
            <w:tcW w:type="dxa" w:w="5040"/>
            <w:vAlign w:val="top"/>
            <w:tcMar>
              <w:top w:w="90" w:type="dxa"/>
              <w:start w:w="110" w:type="dxa"/>
              <w:bottom w:w="90" w:type="dxa"/>
              <w:end w:w="110" w:type="dxa"/>
            </w:tcMar>
          </w:tcPr>
          <w:p>
            <w:pPr>
              <w:spacing w:after="0" w:line="250" w:lineRule="auto"/>
            </w:pPr>
            <w:r>
              <w:rPr>
                <w:sz w:val="17"/>
              </w:rPr>
              <w:t>A narrowly defined question about whether a human protein has a documented primary-human ischemic-stroke association.</w:t>
            </w:r>
          </w:p>
        </w:tc>
      </w:tr>
      <w:tr>
        <w:trPr>
          <w:cantSplit/>
        </w:trPr>
        <w:tc>
          <w:tcPr>
            <w:tcW w:type="dxa" w:w="5040"/>
            <w:vAlign w:val="top"/>
            <w:tcMar>
              <w:top w:w="90" w:type="dxa"/>
              <w:start w:w="110" w:type="dxa"/>
              <w:bottom w:w="90" w:type="dxa"/>
              <w:end w:w="110" w:type="dxa"/>
            </w:tcMar>
          </w:tcPr>
          <w:p>
            <w:pPr>
              <w:spacing w:after="0" w:line="250" w:lineRule="auto"/>
            </w:pPr>
            <w:r>
              <w:rPr>
                <w:sz w:val="17"/>
              </w:rPr>
              <w:t>Mean pooling is a standard way to convert residue-level representations into one protein-level vector.</w:t>
            </w:r>
          </w:p>
        </w:tc>
        <w:tc>
          <w:tcPr>
            <w:tcW w:type="dxa" w:w="5040"/>
            <w:vAlign w:val="top"/>
            <w:tcMar>
              <w:top w:w="90" w:type="dxa"/>
              <w:start w:w="110" w:type="dxa"/>
              <w:bottom w:w="90" w:type="dxa"/>
              <w:end w:w="110" w:type="dxa"/>
            </w:tcMar>
          </w:tcPr>
          <w:p>
            <w:pPr>
              <w:spacing w:after="0" w:line="250" w:lineRule="auto"/>
            </w:pPr>
            <w:r>
              <w:rPr>
                <w:sz w:val="17"/>
              </w:rPr>
              <w:t>Separate label fields for pre-event risk, post-event measurement, and severity/outcome evidence.</w:t>
            </w:r>
          </w:p>
        </w:tc>
      </w:tr>
      <w:tr>
        <w:trPr>
          <w:cantSplit/>
        </w:trPr>
        <w:tc>
          <w:tcPr>
            <w:tcW w:type="dxa" w:w="5040"/>
            <w:vAlign w:val="top"/>
            <w:tcMar>
              <w:top w:w="90" w:type="dxa"/>
              <w:start w:w="110" w:type="dxa"/>
              <w:bottom w:w="90" w:type="dxa"/>
              <w:end w:w="110" w:type="dxa"/>
            </w:tcMar>
          </w:tcPr>
          <w:p>
            <w:pPr>
              <w:spacing w:after="0" w:line="250" w:lineRule="auto"/>
            </w:pPr>
            <w:r>
              <w:rPr>
                <w:sz w:val="17"/>
              </w:rPr>
              <w:t>StandardScaler and regularized logistic regression are established statistical tools.</w:t>
            </w:r>
          </w:p>
        </w:tc>
        <w:tc>
          <w:tcPr>
            <w:tcW w:type="dxa" w:w="5040"/>
            <w:vAlign w:val="top"/>
            <w:tcMar>
              <w:top w:w="90" w:type="dxa"/>
              <w:start w:w="110" w:type="dxa"/>
              <w:bottom w:w="90" w:type="dxa"/>
              <w:end w:w="110" w:type="dxa"/>
            </w:tcMar>
          </w:tcPr>
          <w:p>
            <w:pPr>
              <w:spacing w:after="0" w:line="250" w:lineRule="auto"/>
            </w:pPr>
            <w:r>
              <w:rPr>
                <w:sz w:val="17"/>
              </w:rPr>
              <w:t>A literature-curated set of 56 positives, 10 provisional candidate negatives, and 2 retained unresolved cases with NCBI RefSeq sequence provenance.</w:t>
            </w:r>
          </w:p>
        </w:tc>
      </w:tr>
      <w:tr>
        <w:trPr>
          <w:cantSplit/>
        </w:trPr>
        <w:tc>
          <w:tcPr>
            <w:tcW w:type="dxa" w:w="5040"/>
            <w:vAlign w:val="top"/>
            <w:tcMar>
              <w:top w:w="90" w:type="dxa"/>
              <w:start w:w="110" w:type="dxa"/>
              <w:bottom w:w="90" w:type="dxa"/>
              <w:end w:w="110" w:type="dxa"/>
            </w:tcMar>
          </w:tcPr>
          <w:p>
            <w:pPr>
              <w:spacing w:after="0" w:line="250" w:lineRule="auto"/>
            </w:pPr>
            <w:r>
              <w:rPr>
                <w:sz w:val="17"/>
              </w:rPr>
              <w:t>Sequence clustering and group-based splitting are established ways to reduce related-sequence leakage.</w:t>
            </w:r>
          </w:p>
        </w:tc>
        <w:tc>
          <w:tcPr>
            <w:tcW w:type="dxa" w:w="5040"/>
            <w:vAlign w:val="top"/>
            <w:tcMar>
              <w:top w:w="90" w:type="dxa"/>
              <w:start w:w="110" w:type="dxa"/>
              <w:bottom w:w="90" w:type="dxa"/>
              <w:end w:w="110" w:type="dxa"/>
            </w:tcMar>
          </w:tcPr>
          <w:p>
            <w:pPr>
              <w:spacing w:after="0" w:line="250" w:lineRule="auto"/>
            </w:pPr>
            <w:r>
              <w:rPr>
                <w:sz w:val="17"/>
              </w:rPr>
              <w:t>Reproducible scripts, saved search logs, evaluation manifest, and a local sequence-input demonstration.</w:t>
            </w:r>
          </w:p>
        </w:tc>
      </w:tr>
    </w:tbl>
    <w:p>
      <w:pPr>
        <w:spacing w:after="40"/>
      </w:pPr>
    </w:p>
    <w:p>
      <w:r>
        <w:t>This is an application and curation contribution, not a new architecture. The current dataset and single split do not establish a new biological finding or a validated predictor.</w:t>
      </w:r>
    </w:p>
    <w:p>
      <w:pPr>
        <w:pStyle w:val="Heading1"/>
      </w:pPr>
      <w:r>
        <w:t>7  Supporting literature and provenance</w:t>
      </w:r>
    </w:p>
    <w:p>
      <w:r>
        <w:t>The curation table records a primary paper title, DOI/PMID, study population, evidence category, and rationale for each positive candidate. It contains 27 distinct primary-human positive-study citations, including one preprint. The examples below illustrate why the labels are separated.</w:t>
      </w:r>
    </w:p>
    <w:tbl>
      <w:tblPr>
        <w:tblStyle w:val="TableGrid"/>
        <w:tblW w:type="auto" w:w="0"/>
        <w:tblLayout w:type="fixed"/>
        <w:tblLook w:firstColumn="1" w:firstRow="1" w:lastColumn="0" w:lastRow="0" w:noHBand="0" w:noVBand="1" w:val="04A0"/>
      </w:tblPr>
      <w:tblGrid>
        <w:gridCol w:w="3504"/>
        <w:gridCol w:w="3504"/>
        <w:gridCol w:w="3504"/>
      </w:tblGrid>
      <w:tr>
        <w:trPr>
          <w:tblHeader w:val="true"/>
        </w:trPr>
        <w:tc>
          <w:tcPr>
            <w:tcW w:type="dxa" w:w="1944"/>
            <w:shd w:fill="17324D"/>
            <w:vAlign w:val="center"/>
            <w:tcMar>
              <w:top w:w="90" w:type="dxa"/>
              <w:start w:w="110" w:type="dxa"/>
              <w:bottom w:w="90" w:type="dxa"/>
              <w:end w:w="110" w:type="dxa"/>
            </w:tcMar>
          </w:tcPr>
          <w:p>
            <w:pPr>
              <w:spacing w:after="0"/>
            </w:pPr>
            <w:r>
              <w:rPr>
                <w:b/>
                <w:color w:val="FFFFFF"/>
                <w:sz w:val="15"/>
              </w:rPr>
              <w:t>Topic</w:t>
            </w:r>
          </w:p>
        </w:tc>
        <w:tc>
          <w:tcPr>
            <w:tcW w:type="dxa" w:w="6120"/>
            <w:shd w:fill="17324D"/>
            <w:vAlign w:val="center"/>
            <w:tcMar>
              <w:top w:w="90" w:type="dxa"/>
              <w:start w:w="110" w:type="dxa"/>
              <w:bottom w:w="90" w:type="dxa"/>
              <w:end w:w="110" w:type="dxa"/>
            </w:tcMar>
          </w:tcPr>
          <w:p>
            <w:pPr>
              <w:spacing w:after="0"/>
            </w:pPr>
            <w:r>
              <w:rPr>
                <w:b/>
                <w:color w:val="FFFFFF"/>
                <w:sz w:val="15"/>
              </w:rPr>
              <w:t>What the paper contributes</w:t>
            </w:r>
          </w:p>
        </w:tc>
        <w:tc>
          <w:tcPr>
            <w:tcW w:type="dxa" w:w="2016"/>
            <w:shd w:fill="17324D"/>
            <w:vAlign w:val="center"/>
            <w:tcMar>
              <w:top w:w="90" w:type="dxa"/>
              <w:start w:w="110" w:type="dxa"/>
              <w:bottom w:w="90" w:type="dxa"/>
              <w:end w:w="110" w:type="dxa"/>
            </w:tcMar>
          </w:tcPr>
          <w:p>
            <w:pPr>
              <w:spacing w:after="0"/>
            </w:pPr>
            <w:r>
              <w:rPr>
                <w:b/>
                <w:color w:val="FFFFFF"/>
                <w:sz w:val="15"/>
              </w:rPr>
              <w:t>Reference</w:t>
            </w:r>
          </w:p>
        </w:tc>
      </w:tr>
      <w:tr>
        <w:trPr>
          <w:cantSplit/>
        </w:trPr>
        <w:tc>
          <w:tcPr>
            <w:tcW w:type="dxa" w:w="1944"/>
            <w:vAlign w:val="top"/>
            <w:tcMar>
              <w:top w:w="90" w:type="dxa"/>
              <w:start w:w="110" w:type="dxa"/>
              <w:bottom w:w="90" w:type="dxa"/>
              <w:end w:w="110" w:type="dxa"/>
            </w:tcMar>
          </w:tcPr>
          <w:p>
            <w:pPr>
              <w:spacing w:after="0" w:line="250" w:lineRule="auto"/>
            </w:pPr>
            <w:r>
              <w:rPr>
                <w:sz w:val="15"/>
              </w:rPr>
              <w:t>Before-stroke risk</w:t>
            </w:r>
          </w:p>
        </w:tc>
        <w:tc>
          <w:tcPr>
            <w:tcW w:type="dxa" w:w="6120"/>
            <w:vAlign w:val="top"/>
            <w:tcMar>
              <w:top w:w="90" w:type="dxa"/>
              <w:start w:w="110" w:type="dxa"/>
              <w:bottom w:w="90" w:type="dxa"/>
              <w:end w:w="110" w:type="dxa"/>
            </w:tcMar>
          </w:tcPr>
          <w:p>
            <w:pPr>
              <w:spacing w:after="0" w:line="250" w:lineRule="auto"/>
            </w:pPr>
            <w:r>
              <w:rPr>
                <w:sz w:val="15"/>
              </w:rPr>
              <w:t>The Women's Health Initiative study measured biomarkers in 972 matched case-control pairs of postmenopausal women. CRP was reported as the only individual biomarker that remained an independent predictor after adjustment for other biomarkers and risk factors. This supports a pre-event association, not causation.</w:t>
            </w:r>
          </w:p>
        </w:tc>
        <w:tc>
          <w:tcPr>
            <w:tcW w:type="dxa" w:w="2016"/>
            <w:vAlign w:val="top"/>
            <w:tcMar>
              <w:top w:w="90" w:type="dxa"/>
              <w:start w:w="110" w:type="dxa"/>
              <w:bottom w:w="90" w:type="dxa"/>
              <w:end w:w="110" w:type="dxa"/>
            </w:tcMar>
          </w:tcPr>
          <w:p>
            <w:pPr>
              <w:spacing w:after="0" w:line="250" w:lineRule="auto"/>
            </w:pPr>
            <w:r>
              <w:rPr>
                <w:sz w:val="15"/>
              </w:rPr>
              <w:t>PMID 18984425; DOI 10.1016/j.jstrokecerebrovasdis.2008.04.006</w:t>
            </w:r>
          </w:p>
        </w:tc>
      </w:tr>
      <w:tr>
        <w:trPr>
          <w:cantSplit/>
        </w:trPr>
        <w:tc>
          <w:tcPr>
            <w:tcW w:type="dxa" w:w="1944"/>
            <w:vAlign w:val="top"/>
            <w:tcMar>
              <w:top w:w="90" w:type="dxa"/>
              <w:start w:w="110" w:type="dxa"/>
              <w:bottom w:w="90" w:type="dxa"/>
              <w:end w:w="110" w:type="dxa"/>
            </w:tcMar>
          </w:tcPr>
          <w:p>
            <w:pPr>
              <w:spacing w:after="0" w:line="250" w:lineRule="auto"/>
            </w:pPr>
            <w:r>
              <w:rPr>
                <w:sz w:val="15"/>
              </w:rPr>
              <w:t>Post-stroke outcome</w:t>
            </w:r>
          </w:p>
        </w:tc>
        <w:tc>
          <w:tcPr>
            <w:tcW w:type="dxa" w:w="6120"/>
            <w:vAlign w:val="top"/>
            <w:tcMar>
              <w:top w:w="90" w:type="dxa"/>
              <w:start w:w="110" w:type="dxa"/>
              <w:bottom w:w="90" w:type="dxa"/>
              <w:end w:w="110" w:type="dxa"/>
            </w:tcMar>
          </w:tcPr>
          <w:p>
            <w:pPr>
              <w:spacing w:after="0" w:line="250" w:lineRule="auto"/>
            </w:pPr>
            <w:r>
              <w:rPr>
                <w:sz w:val="15"/>
              </w:rPr>
              <w:t>Angerfors et al. measured acute plasma proteins in 534 ischemic-stroke cases and related them to 3-month functional outcome. The source paper reported multiple associations and applied LASSO; candidate-level details are in the curation table.</w:t>
            </w:r>
          </w:p>
        </w:tc>
        <w:tc>
          <w:tcPr>
            <w:tcW w:type="dxa" w:w="2016"/>
            <w:vAlign w:val="top"/>
            <w:tcMar>
              <w:top w:w="90" w:type="dxa"/>
              <w:start w:w="110" w:type="dxa"/>
              <w:bottom w:w="90" w:type="dxa"/>
              <w:end w:w="110" w:type="dxa"/>
            </w:tcMar>
          </w:tcPr>
          <w:p>
            <w:pPr>
              <w:spacing w:after="0" w:line="250" w:lineRule="auto"/>
            </w:pPr>
            <w:r>
              <w:rPr>
                <w:sz w:val="15"/>
              </w:rPr>
              <w:t>PMID 37794467; DOI 10.1186/s12974-023-02912-9</w:t>
            </w:r>
          </w:p>
        </w:tc>
      </w:tr>
      <w:tr>
        <w:trPr>
          <w:cantSplit/>
        </w:trPr>
        <w:tc>
          <w:tcPr>
            <w:tcW w:type="dxa" w:w="1944"/>
            <w:vAlign w:val="top"/>
            <w:tcMar>
              <w:top w:w="90" w:type="dxa"/>
              <w:start w:w="110" w:type="dxa"/>
              <w:bottom w:w="90" w:type="dxa"/>
              <w:end w:w="110" w:type="dxa"/>
            </w:tcMar>
          </w:tcPr>
          <w:p>
            <w:pPr>
              <w:spacing w:after="0" w:line="250" w:lineRule="auto"/>
            </w:pPr>
            <w:r>
              <w:rPr>
                <w:sz w:val="15"/>
              </w:rPr>
              <w:t>Post-stroke measurement</w:t>
            </w:r>
          </w:p>
        </w:tc>
        <w:tc>
          <w:tcPr>
            <w:tcW w:type="dxa" w:w="6120"/>
            <w:vAlign w:val="top"/>
            <w:tcMar>
              <w:top w:w="90" w:type="dxa"/>
              <w:start w:w="110" w:type="dxa"/>
              <w:bottom w:w="90" w:type="dxa"/>
              <w:end w:w="110" w:type="dxa"/>
            </w:tcMar>
          </w:tcPr>
          <w:p>
            <w:pPr>
              <w:spacing w:after="0" w:line="250" w:lineRule="auto"/>
            </w:pPr>
            <w:r>
              <w:rPr>
                <w:sz w:val="15"/>
              </w:rPr>
              <w:t>A human case-control study compared acute stroke patients with controls for serum cytokines. The project uses this and other primary-human reports only where the protein-specific measurement and ischemic-stroke relationship meet the written rule.</w:t>
            </w:r>
          </w:p>
        </w:tc>
        <w:tc>
          <w:tcPr>
            <w:tcW w:type="dxa" w:w="2016"/>
            <w:vAlign w:val="top"/>
            <w:tcMar>
              <w:top w:w="90" w:type="dxa"/>
              <w:start w:w="110" w:type="dxa"/>
              <w:bottom w:w="90" w:type="dxa"/>
              <w:end w:w="110" w:type="dxa"/>
            </w:tcMar>
          </w:tcPr>
          <w:p>
            <w:pPr>
              <w:spacing w:after="0" w:line="250" w:lineRule="auto"/>
            </w:pPr>
            <w:r>
              <w:rPr>
                <w:sz w:val="15"/>
              </w:rPr>
              <w:t>PMID 21424610; DOI 10.1007/s00415-011-6006-0</w:t>
            </w:r>
          </w:p>
        </w:tc>
      </w:tr>
      <w:tr>
        <w:trPr>
          <w:cantSplit/>
        </w:trPr>
        <w:tc>
          <w:tcPr>
            <w:tcW w:type="dxa" w:w="1944"/>
            <w:vAlign w:val="top"/>
            <w:tcMar>
              <w:top w:w="90" w:type="dxa"/>
              <w:start w:w="110" w:type="dxa"/>
              <w:bottom w:w="90" w:type="dxa"/>
              <w:end w:w="110" w:type="dxa"/>
            </w:tcMar>
          </w:tcPr>
          <w:p>
            <w:pPr>
              <w:spacing w:after="0" w:line="250" w:lineRule="auto"/>
            </w:pPr>
            <w:r>
              <w:rPr>
                <w:sz w:val="15"/>
              </w:rPr>
              <w:t>Thrombectomy clot proteomics</w:t>
            </w:r>
          </w:p>
        </w:tc>
        <w:tc>
          <w:tcPr>
            <w:tcW w:type="dxa" w:w="6120"/>
            <w:vAlign w:val="top"/>
            <w:tcMar>
              <w:top w:w="90" w:type="dxa"/>
              <w:start w:w="110" w:type="dxa"/>
              <w:bottom w:w="90" w:type="dxa"/>
              <w:end w:w="110" w:type="dxa"/>
            </w:tcMar>
          </w:tcPr>
          <w:p>
            <w:pPr>
              <w:spacing w:after="0" w:line="250" w:lineRule="auto"/>
            </w:pPr>
            <w:r>
              <w:rPr>
                <w:sz w:val="15"/>
              </w:rPr>
              <w:t>Schartz et al. analyzed thrombus material from 24 acute ischemic-stroke patients. Bleomycin hydrolase was among proteins differentially abundant by CT hyperdense cerebral artery sign group. This is a selected clot cohort, not a population-wide blood test.</w:t>
            </w:r>
          </w:p>
        </w:tc>
        <w:tc>
          <w:tcPr>
            <w:tcW w:type="dxa" w:w="2016"/>
            <w:vAlign w:val="top"/>
            <w:tcMar>
              <w:top w:w="90" w:type="dxa"/>
              <w:start w:w="110" w:type="dxa"/>
              <w:bottom w:w="90" w:type="dxa"/>
              <w:end w:w="110" w:type="dxa"/>
            </w:tcMar>
          </w:tcPr>
          <w:p>
            <w:pPr>
              <w:spacing w:after="0" w:line="250" w:lineRule="auto"/>
            </w:pPr>
            <w:r>
              <w:rPr>
                <w:sz w:val="15"/>
              </w:rPr>
              <w:t>PMID 36878687; DOI 10.1136/jnis-2022-019937</w:t>
            </w:r>
          </w:p>
        </w:tc>
      </w:tr>
      <w:tr>
        <w:trPr>
          <w:cantSplit/>
        </w:trPr>
        <w:tc>
          <w:tcPr>
            <w:tcW w:type="dxa" w:w="1944"/>
            <w:vAlign w:val="top"/>
            <w:tcMar>
              <w:top w:w="90" w:type="dxa"/>
              <w:start w:w="110" w:type="dxa"/>
              <w:bottom w:w="90" w:type="dxa"/>
              <w:end w:w="110" w:type="dxa"/>
            </w:tcMar>
          </w:tcPr>
          <w:p>
            <w:pPr>
              <w:spacing w:after="0" w:line="250" w:lineRule="auto"/>
            </w:pPr>
            <w:r>
              <w:rPr>
                <w:sz w:val="15"/>
              </w:rPr>
              <w:t>Longitudinal outcome panel</w:t>
            </w:r>
          </w:p>
        </w:tc>
        <w:tc>
          <w:tcPr>
            <w:tcW w:type="dxa" w:w="6120"/>
            <w:vAlign w:val="top"/>
            <w:tcMar>
              <w:top w:w="90" w:type="dxa"/>
              <w:start w:w="110" w:type="dxa"/>
              <w:bottom w:w="90" w:type="dxa"/>
              <w:end w:w="110" w:type="dxa"/>
            </w:tcMar>
          </w:tcPr>
          <w:p>
            <w:pPr>
              <w:spacing w:after="0" w:line="250" w:lineRule="auto"/>
            </w:pPr>
            <w:r>
              <w:rPr>
                <w:sz w:val="15"/>
              </w:rPr>
              <w:t>Lagging et al. measured 91 neurobiological proteins in plasma from ischemic-stroke cases and controls, with acute and follow-up sampling. This study provided candidate-search context; non-significant panel results alone were not used as biological negatives.</w:t>
            </w:r>
          </w:p>
        </w:tc>
        <w:tc>
          <w:tcPr>
            <w:tcW w:type="dxa" w:w="2016"/>
            <w:vAlign w:val="top"/>
            <w:tcMar>
              <w:top w:w="90" w:type="dxa"/>
              <w:start w:w="110" w:type="dxa"/>
              <w:bottom w:w="90" w:type="dxa"/>
              <w:end w:w="110" w:type="dxa"/>
            </w:tcMar>
          </w:tcPr>
          <w:p>
            <w:pPr>
              <w:spacing w:after="0" w:line="250" w:lineRule="auto"/>
            </w:pPr>
            <w:r>
              <w:rPr>
                <w:sz w:val="15"/>
              </w:rPr>
              <w:t>PMID 36418382; DOI 10.1038/s41598-022-23288-5</w:t>
            </w:r>
          </w:p>
        </w:tc>
      </w:tr>
      <w:tr>
        <w:trPr>
          <w:cantSplit/>
        </w:trPr>
        <w:tc>
          <w:tcPr>
            <w:tcW w:type="dxa" w:w="1944"/>
            <w:vAlign w:val="top"/>
            <w:tcMar>
              <w:top w:w="90" w:type="dxa"/>
              <w:start w:w="110" w:type="dxa"/>
              <w:bottom w:w="90" w:type="dxa"/>
              <w:end w:w="110" w:type="dxa"/>
            </w:tcMar>
          </w:tcPr>
          <w:p>
            <w:pPr>
              <w:spacing w:after="0" w:line="250" w:lineRule="auto"/>
            </w:pPr>
            <w:r>
              <w:rPr>
                <w:sz w:val="15"/>
              </w:rPr>
              <w:t>HIV-associated stroke candidate panel</w:t>
            </w:r>
          </w:p>
        </w:tc>
        <w:tc>
          <w:tcPr>
            <w:tcW w:type="dxa" w:w="6120"/>
            <w:vAlign w:val="top"/>
            <w:tcMar>
              <w:top w:w="90" w:type="dxa"/>
              <w:start w:w="110" w:type="dxa"/>
              <w:bottom w:w="90" w:type="dxa"/>
              <w:end w:w="110" w:type="dxa"/>
            </w:tcMar>
          </w:tcPr>
          <w:p>
            <w:pPr>
              <w:spacing w:after="0" w:line="250" w:lineRule="auto"/>
            </w:pPr>
            <w:r>
              <w:rPr>
                <w:sz w:val="15"/>
              </w:rPr>
              <w:t>Chen et al. reported a human targeted-plasma proteomics study in people living with HIV. Its supplement provided candidates for follow-up searches. The nonsignificant entries were leads only; the study's population limits generalization.</w:t>
            </w:r>
          </w:p>
        </w:tc>
        <w:tc>
          <w:tcPr>
            <w:tcW w:type="dxa" w:w="2016"/>
            <w:vAlign w:val="top"/>
            <w:tcMar>
              <w:top w:w="90" w:type="dxa"/>
              <w:start w:w="110" w:type="dxa"/>
              <w:bottom w:w="90" w:type="dxa"/>
              <w:end w:w="110" w:type="dxa"/>
            </w:tcMar>
          </w:tcPr>
          <w:p>
            <w:pPr>
              <w:spacing w:after="0" w:line="250" w:lineRule="auto"/>
            </w:pPr>
            <w:r>
              <w:rPr>
                <w:sz w:val="15"/>
              </w:rPr>
              <w:t>PMID 42265127; DOI 10.1038/s41467-026-74258-8</w:t>
            </w:r>
          </w:p>
        </w:tc>
      </w:tr>
      <w:tr>
        <w:trPr>
          <w:cantSplit/>
        </w:trPr>
        <w:tc>
          <w:tcPr>
            <w:tcW w:type="dxa" w:w="1944"/>
            <w:vAlign w:val="top"/>
            <w:tcMar>
              <w:top w:w="90" w:type="dxa"/>
              <w:start w:w="110" w:type="dxa"/>
              <w:bottom w:w="90" w:type="dxa"/>
              <w:end w:w="110" w:type="dxa"/>
            </w:tcMar>
          </w:tcPr>
          <w:p>
            <w:pPr>
              <w:spacing w:after="0" w:line="250" w:lineRule="auto"/>
            </w:pPr>
            <w:r>
              <w:rPr>
                <w:sz w:val="15"/>
              </w:rPr>
              <w:t>Protein language model</w:t>
            </w:r>
          </w:p>
        </w:tc>
        <w:tc>
          <w:tcPr>
            <w:tcW w:type="dxa" w:w="6120"/>
            <w:vAlign w:val="top"/>
            <w:tcMar>
              <w:top w:w="90" w:type="dxa"/>
              <w:start w:w="110" w:type="dxa"/>
              <w:bottom w:w="90" w:type="dxa"/>
              <w:end w:w="110" w:type="dxa"/>
            </w:tcMar>
          </w:tcPr>
          <w:p>
            <w:pPr>
              <w:spacing w:after="0" w:line="250" w:lineRule="auto"/>
            </w:pPr>
            <w:r>
              <w:rPr>
                <w:sz w:val="15"/>
              </w:rPr>
              <w:t>Lin et al. introduced the ESM-2 model family and showed how protein language models can learn sequence patterns. StrokeProt uses the small 8-million-parameter ESM-2 checkpoint as an existing encoder; the paper is not evidence that this classifier works for stroke association.</w:t>
            </w:r>
          </w:p>
        </w:tc>
        <w:tc>
          <w:tcPr>
            <w:tcW w:type="dxa" w:w="2016"/>
            <w:vAlign w:val="top"/>
            <w:tcMar>
              <w:top w:w="90" w:type="dxa"/>
              <w:start w:w="110" w:type="dxa"/>
              <w:bottom w:w="90" w:type="dxa"/>
              <w:end w:w="110" w:type="dxa"/>
            </w:tcMar>
          </w:tcPr>
          <w:p>
            <w:pPr>
              <w:spacing w:after="0" w:line="250" w:lineRule="auto"/>
            </w:pPr>
            <w:r>
              <w:rPr>
                <w:sz w:val="15"/>
              </w:rPr>
              <w:t>DOI 10.1126/science.ade2574</w:t>
            </w:r>
          </w:p>
        </w:tc>
      </w:tr>
      <w:tr>
        <w:trPr>
          <w:cantSplit/>
        </w:trPr>
        <w:tc>
          <w:tcPr>
            <w:tcW w:type="dxa" w:w="1944"/>
            <w:vAlign w:val="top"/>
            <w:tcMar>
              <w:top w:w="90" w:type="dxa"/>
              <w:start w:w="110" w:type="dxa"/>
              <w:bottom w:w="90" w:type="dxa"/>
              <w:end w:w="110" w:type="dxa"/>
            </w:tcMar>
          </w:tcPr>
          <w:p>
            <w:pPr>
              <w:spacing w:after="0" w:line="250" w:lineRule="auto"/>
            </w:pPr>
            <w:r>
              <w:rPr>
                <w:sz w:val="15"/>
              </w:rPr>
              <w:t>Evaluation leakage caution</w:t>
            </w:r>
          </w:p>
        </w:tc>
        <w:tc>
          <w:tcPr>
            <w:tcW w:type="dxa" w:w="6120"/>
            <w:vAlign w:val="top"/>
            <w:tcMar>
              <w:top w:w="90" w:type="dxa"/>
              <w:start w:w="110" w:type="dxa"/>
              <w:bottom w:w="90" w:type="dxa"/>
              <w:end w:w="110" w:type="dxa"/>
            </w:tcMar>
          </w:tcPr>
          <w:p>
            <w:pPr>
              <w:spacing w:after="0" w:line="250" w:lineRule="auto"/>
            </w:pPr>
            <w:r>
              <w:rPr>
                <w:sz w:val="15"/>
              </w:rPr>
              <w:t>Hermann et al. studied how pretraining-data overlap can affect measured protein-language-model performance. It reinforces that test scores require careful interpretation; it does not quantify leakage in this particular dataset.</w:t>
            </w:r>
          </w:p>
        </w:tc>
        <w:tc>
          <w:tcPr>
            <w:tcW w:type="dxa" w:w="2016"/>
            <w:vAlign w:val="top"/>
            <w:tcMar>
              <w:top w:w="90" w:type="dxa"/>
              <w:start w:w="110" w:type="dxa"/>
              <w:bottom w:w="90" w:type="dxa"/>
              <w:end w:w="110" w:type="dxa"/>
            </w:tcMar>
          </w:tcPr>
          <w:p>
            <w:pPr>
              <w:spacing w:after="0" w:line="250" w:lineRule="auto"/>
            </w:pPr>
            <w:r>
              <w:rPr>
                <w:sz w:val="15"/>
              </w:rPr>
              <w:t>PMLR 261 (2024), pp. 106-116</w:t>
            </w:r>
          </w:p>
        </w:tc>
      </w:tr>
    </w:tbl>
    <w:p>
      <w:pPr>
        <w:spacing w:after="40"/>
      </w:pPr>
    </w:p>
    <w:p>
      <w:r>
        <w:t>References below are drawn from the project's evidence table, plus key model/evaluation sources. They are listed so readers can inspect the primary studies. A DOI/PMID is an identifier, not an endorsement of every curation decision; re-check evidence before scientific reuse.</w:t>
      </w:r>
    </w:p>
    <w:p>
      <w:pPr>
        <w:pStyle w:val="Heading1"/>
      </w:pPr>
      <w:r>
        <w:t>8  Reproducing the current run</w:t>
      </w:r>
    </w:p>
    <w:p>
      <w:r>
        <w:t>From the repository folder in PowerShell, activate the project's virtual environment and run the following. The classifier, embeddings, and pretrained weights are generated locally and are not committed into the repository.</w:t>
      </w:r>
    </w:p>
    <w:p>
      <w:pPr>
        <w:spacing w:after="60"/>
        <w:ind w:left="317"/>
        <w:shd w:fill="F0F4F6"/>
      </w:pPr>
      <w:r>
        <w:rPr>
          <w:rFonts w:ascii="Consolas" w:hAnsi="Consolas"/>
          <w:color w:val="17324D"/>
          <w:sz w:val="18"/>
        </w:rPr>
        <w:t>.venv\Scripts\Activate.ps1</w:t>
      </w:r>
    </w:p>
    <w:p>
      <w:pPr>
        <w:spacing w:after="60"/>
        <w:ind w:left="317"/>
        <w:shd w:fill="F0F4F6"/>
      </w:pPr>
      <w:r>
        <w:rPr>
          <w:rFonts w:ascii="Consolas" w:hAnsi="Consolas"/>
          <w:color w:val="17324D"/>
          <w:sz w:val="18"/>
        </w:rPr>
        <w:t>python scripts/check_dataset_readiness.py</w:t>
      </w:r>
    </w:p>
    <w:p>
      <w:pPr>
        <w:spacing w:after="60"/>
        <w:ind w:left="317"/>
        <w:shd w:fill="F0F4F6"/>
      </w:pPr>
      <w:r>
        <w:rPr>
          <w:rFonts w:ascii="Consolas" w:hAnsi="Consolas"/>
          <w:color w:val="17324D"/>
          <w:sz w:val="18"/>
        </w:rPr>
        <w:t>python scripts/run_model3_esm2.py --data data/processed/proteins_esm.csv --output results/model3_esm2</w:t>
      </w:r>
    </w:p>
    <w:p>
      <w:pPr>
        <w:spacing w:after="60"/>
        <w:ind w:left="317"/>
        <w:shd w:fill="F0F4F6"/>
      </w:pPr>
      <w:r>
        <w:rPr>
          <w:rFonts w:ascii="Consolas" w:hAnsi="Consolas"/>
          <w:color w:val="17324D"/>
          <w:sz w:val="18"/>
        </w:rPr>
        <w:t>python app.py</w:t>
      </w:r>
    </w:p>
    <w:p>
      <w:r>
        <w:t>The first training run downloads public ESM-2 weights. The current run used CPU inference. Check the dataset and metrics manifest after changing evidence, labels, sequences, or clustering; never quote these old metrics for a changed dataset.</w:t>
      </w:r>
    </w:p>
    <w:p>
      <w:pPr>
        <w:pStyle w:val="Heading2"/>
      </w:pPr>
      <w:r>
        <w:t>What would improve the evidence</w:t>
      </w:r>
    </w:p>
    <w:p>
      <w:pPr>
        <w:pStyle w:val="ListBullet"/>
        <w:spacing w:after="60"/>
      </w:pPr>
      <w:r>
        <w:t>Independently review all 10 candidate-negative decisions and broaden the PubMed/PMC searches. Keep a candidate unresolved when searches or protein-specific interpretation are uncertain.</w:t>
      </w:r>
    </w:p>
    <w:p>
      <w:pPr>
        <w:pStyle w:val="ListBullet"/>
        <w:spacing w:after="60"/>
      </w:pPr>
      <w:r>
        <w:t>Add many more independent candidate-negative proteins with documented search rules and verified sequences. Do not create artificial negatives or label a protein negative merely because one panel did not find significance.</w:t>
      </w:r>
    </w:p>
    <w:p>
      <w:pPr>
        <w:pStyle w:val="ListBullet"/>
        <w:spacing w:after="60"/>
      </w:pPr>
      <w:r>
        <w:t>Consider defining a narrower prediction task, such as post-stroke measurements only, rather than mixing pre-event risk, post-event measurements, and outcomes.</w:t>
      </w:r>
    </w:p>
    <w:p>
      <w:pPr>
        <w:pStyle w:val="ListBullet"/>
        <w:spacing w:after="60"/>
      </w:pPr>
      <w:r>
        <w:t>After expanding the dataset, pre-specify the split and evaluate on substantially more sequence groups and an independent study/cohort where possible. Report uncertainty and class-specific errors.</w:t>
      </w:r>
    </w:p>
    <w:p>
      <w:r>
        <w:br w:type="page"/>
      </w:r>
    </w:p>
    <w:p>
      <w:pPr>
        <w:pStyle w:val="Heading1"/>
      </w:pPr>
      <w:r>
        <w:t>Appendix A  Detailed prompt for continuing this project</w:t>
      </w:r>
    </w:p>
    <w:p>
      <w:r>
        <w:t>Copy the prompt below into a future project chat. Update the counts and results if the repository has changed since this guide was prepared.</w:t>
      </w:r>
    </w:p>
    <w:tbl>
      <w:tblPr>
        <w:tblStyle w:val="TableGrid"/>
        <w:tblW w:type="auto" w:w="0"/>
        <w:tblLook w:firstColumn="1" w:firstRow="1" w:lastColumn="0" w:lastRow="0" w:noHBand="0" w:noVBand="1" w:val="04A0"/>
      </w:tblPr>
      <w:tblGrid>
        <w:gridCol w:w="10512"/>
      </w:tblGrid>
      <w:tr>
        <w:tc>
          <w:tcPr>
            <w:tcW w:type="dxa" w:w="10512"/>
            <w:shd w:fill="F3F6F8"/>
            <w:tcMar>
              <w:top w:w="180" w:type="dxa"/>
              <w:start w:w="210" w:type="dxa"/>
              <w:bottom w:w="180" w:type="dxa"/>
              <w:end w:w="210" w:type="dxa"/>
            </w:tcMar>
          </w:tcPr>
          <w:p>
            <w:pPr>
              <w:spacing w:after="0" w:line="240" w:lineRule="auto"/>
            </w:pPr>
            <w:r>
              <w:rPr>
                <w:rFonts w:ascii="Consolas" w:hAnsi="Consolas"/>
                <w:sz w:val="14"/>
              </w:rPr>
              <w:t>Continue the StrokeProt-AI project in this repository. I am a beginner, so explain decisions in plain language and give step-by-step instructions when I need to do something.</w:t>
              <w:br/>
              <w:br/>
              <w:t>CURRENT PROJECT STATE (as of 2026-10-25)</w:t>
              <w:br/>
              <w:t>- Purpose: for one human protein sequence, estimate whether the protein meets the project's documented definition of ischemic-stroke-associated. This is a protein-level research classification. Never describe it as diagnosing a person, predicting an individual's stroke, or proving causation.</w:t>
              <w:br/>
              <w:t>- Branch: feature/evidence-curated-stroke-dataset. Preserve current uncommitted changes and any synced reference files. Do not merge or push. Inspect Git status and project instructions before editing.</w:t>
              <w:br/>
              <w:t>- Evidence curation: data/raw/evidence_curation.csv has 68 rows: 56 positive, 10 provisional candidate_negative, 2 unresolved (F8 and CST5). Positive evidence includes three separate categories: risk_before_stroke, post_event_measurement, and severity_or_outcome. Candidate_negative means only that the documented limited search found no qualifying protein-specific human evidence; it is not a true biological negative. Unresolved cases stay visible but are excluded from training.</w:t>
              <w:br/>
              <w:t>- Sequences: data/processed/proteins_esm.csv and proteins_esm.fasta have 66 verified human NCBI RefSeq sequence rows (56 positive, 10 candidate_negative). The table stores accession, gene, protein name, Gene ID, sequence, length, organism, verification, date, source URL, mapping caveat, label and evidence fields. Sequences were checked for human organism, standard amino-acid characters, duplicates, and missing data.</w:t>
              <w:br/>
              <w:t>- Evidence discovery: seven provisional negatives were screened from the 2026 HIV-associated stroke proteomics supplement (PMID 42265127; DOI 10.1038/s41467-026-74258-8). Three more residual candidates were searched from Lagging et al. 2022 (correct PMID 36418382; DOI 10.1038/s41598-022-23288-5). Search logs and supplements are in data/raw/. The evidence review is targeted, not systematic. Recheck sources and all labels before any scientific claim.</w:t>
              <w:br/>
              <w:t>- Sequence groups: scripts/cluster_sequences_pairwise.py groups at &gt;=30% local-alignment identity and &gt;=80% aligned coverage for both sequences using connected components. There are 61 groups: 51 positive and 10 candidate_negative. It was used because the Windows MMseqs2 executable failed.</w:t>
              <w:br/>
              <w:t>- Current model: frozen ESM-2 esm2_t6_8M_UR50D (layer 6; 320-dimensional mean-pooled per-protein embeddings) plus StandardScaler and L2 logistic regression with class_weight='balanced'. No fine-tuning, neural head, CNN, ensemble, SMOTE, clinical features, or structural features. Long sequences use overlapping chunks. Weights and cached embeddings are local ignored files.</w:t>
              <w:br/>
              <w:t>- Current fixed seed-42 grouped split: train 46 rows (40 positive/6 candidate_negative; 36/6 groups), validation 9 rows (7/2; 7/2 groups), test 11 rows (9/2; 8/2 groups). The validation threshold selected by F1 was 0.05.</w:t>
              <w:br/>
              <w:t>- Test results: precision 0.80, recall 0.889, F1 0.842, balanced accuracy 0.444, PR-AUC 0.716, ROC-AUC 0.167, confusion matrix [[0,2],[1,8]] with rows true 0/1 and columns predicted 0/1. Both test candidate negatives were called positive. There were only two negatives in test; these metrics are extremely uncertain and do not establish useful performance. Do not hide this behind accuracy/F1.</w:t>
              <w:br/>
              <w:t>- A local browser demo is in app.py and web/index.html. It accepts one raw protein sequence or FASTA record containing only the 20 standard amino-acid letters and returns a threshold-based label plus an uncalibrated model score. It is a software demonstration only. Run after training with python app.py.</w:t>
              <w:br/>
              <w:br/>
              <w:t>RULES FOR NEXT WORK</w:t>
              <w:br/>
              <w:t>1. First inspect README, AGENTS/project instructions, relevant docs, curation/data files, scripts, and git status. Confirm expected data paths/formats. Keep the feature branch; don't commit, merge, or push unless I explicitly ask.</w:t>
              <w:br/>
              <w:t>2. Preserve provenance. For a positive label require a primary human ischemic-stroke paper and record title, DOI/PMID, evidence category, human study population, and a short protein-specific rationale. Distinguish primary studies from reviews, animal-only papers, database annotations, and candidate lists. Expression changes alone do not qualify.</w:t>
              <w:br/>
              <w:t>3. A candidate-negative label is only a documented absence-of-evidence status, never a biological negative. Log the PubMed/PMC search aliases/terms and manually review hits. Keep unresolved proteins and reasons in the evidence table, but exclude them from model training. Do not invent papers, labels, sequences, or artificial negative examples.</w:t>
              <w:br/>
              <w:t>4. Retrieve only human sequences from NCBI, preferably verified RefSeq. Preserve accession, mapping uncertainty, Gene ID where available, source URL, date, organism, verification status, and length. Validate alphabet, missing/ambiguous residues, duplicate accessions/sequences, and organism. Never silently substitute a sequence.</w:t>
              <w:br/>
              <w:t>5. Do not train a claim-bearing model unless both classes have enough independently reviewed examples and sequence groups for a defensible held-out evaluation. If insufficient, state exactly: “dataset not ready for binary training.” A model run on the present data can only be described as exploratory/demo.</w:t>
              <w:br/>
              <w:t>6. If retraining is justified, use the prescribed primary model only: frozen small ESM-2, mean-pool per-residue representations, regularized logistic regression. Group similar sequences before splitting and keep each group in one partition. Train on training, select choices on validation, evaluate test once. Report partition row counts and groups per class, precision, recall, F1, balanced accuracy, PR-AUC, confusion matrix, and uncertainty. Do not present training accuracy as performance.</w:t>
              <w:br/>
              <w:t>7. Update the dataset manifest, evidence/label documentation, README, UI, and this continuation context whenever status changes. Keep model weights/caches local and ignored by Git. Explain limitations plainly.</w:t>
              <w:br/>
              <w:br/>
              <w:t>RECOMMENDED NEXT STEP</w:t>
              <w:br/>
              <w:t>Expand and independently review the provisional candidate-negative evidence and assemble a substantially larger set of independent negative sequence groups. Reassess whether the label question should be narrowed (for example, post-stroke measurement only). Only then redesign and evaluate the split. Do not promise higher accuracy in advance.</w:t>
            </w:r>
          </w:p>
        </w:tc>
      </w:tr>
    </w:tbl>
    <w:p>
      <w:r>
        <w:br w:type="page"/>
      </w:r>
    </w:p>
    <w:p>
      <w:pPr>
        <w:pStyle w:val="Heading1"/>
      </w:pPr>
      <w:r>
        <w:t>Appendix B  Primary study citations recorded for positive labels</w:t>
      </w:r>
    </w:p>
    <w:p>
      <w:r>
        <w:t>These unique citations are transcribed from data/raw/evidence_curation.csv. Each is linked to a DOI or PubMed record when one is recorded. The full table links each paper to candidate-specific population, evidence category, and rationale.</w:t>
      </w:r>
    </w:p>
    <w:p>
      <w:pPr>
        <w:spacing w:after="60"/>
        <w:ind w:left="288" w:hanging="288"/>
      </w:pPr>
      <w:r>
        <w:rPr>
          <w:b/>
        </w:rPr>
        <w:t xml:space="preserve">P01. </w:t>
      </w:r>
      <w:r>
        <w:t>Inflammation and hemostasis biomarkers for predicting stroke in postmenopausal women: the Women's Health Initiative Observational Study</w:t>
      </w:r>
      <w:r>
        <w:t xml:space="preserve"> DOI: 10.1016/j.jstrokecerebrovasdis.2008.04.006.</w:t>
      </w:r>
      <w:r>
        <w:t xml:space="preserve"> PMID: 18984425.</w:t>
      </w:r>
      <w:r>
        <w:t xml:space="preserve"> </w:t>
      </w:r>
      <w:hyperlink r:id="rId11">
        <w:r>
          <w:rPr>
            <w:color w:val="177C78"/>
            <w:u w:val="single"/>
          </w:rPr>
          <w:t>Open source record</w:t>
        </w:r>
      </w:hyperlink>
    </w:p>
    <w:p>
      <w:pPr>
        <w:spacing w:after="60"/>
        <w:ind w:left="288" w:hanging="288"/>
      </w:pPr>
      <w:r>
        <w:rPr>
          <w:b/>
        </w:rPr>
        <w:t xml:space="preserve">P02. </w:t>
      </w:r>
      <w:r>
        <w:t>Serum matrix metalloproteinase-9 levels and prognosis of acute ischemic stroke</w:t>
      </w:r>
      <w:r>
        <w:t xml:space="preserve"> DOI: 10.1212/WNL.0000000000004257.</w:t>
      </w:r>
      <w:r>
        <w:t xml:space="preserve"> PMID: 28747453.</w:t>
      </w:r>
      <w:r>
        <w:t xml:space="preserve"> </w:t>
      </w:r>
      <w:hyperlink r:id="rId12">
        <w:r>
          <w:rPr>
            <w:color w:val="177C78"/>
            <w:u w:val="single"/>
          </w:rPr>
          <w:t>Open source record</w:t>
        </w:r>
      </w:hyperlink>
    </w:p>
    <w:p>
      <w:pPr>
        <w:spacing w:after="60"/>
        <w:ind w:left="288" w:hanging="288"/>
      </w:pPr>
      <w:r>
        <w:rPr>
          <w:b/>
        </w:rPr>
        <w:t xml:space="preserve">P03. </w:t>
      </w:r>
      <w:r>
        <w:t>Von Willebrand factor drives the association between elevated factor VIII and poor outcomes in patients with ischemic stroke</w:t>
      </w:r>
      <w:r>
        <w:t xml:space="preserve"> DOI: 10.1161/STROKEAHA.114.006394.</w:t>
      </w:r>
      <w:r>
        <w:t xml:space="preserve"> PMID: 25028444.</w:t>
      </w:r>
      <w:r>
        <w:t xml:space="preserve"> </w:t>
      </w:r>
      <w:hyperlink r:id="rId13">
        <w:r>
          <w:rPr>
            <w:color w:val="177C78"/>
            <w:u w:val="single"/>
          </w:rPr>
          <w:t>Open source record</w:t>
        </w:r>
      </w:hyperlink>
    </w:p>
    <w:p>
      <w:pPr>
        <w:spacing w:after="60"/>
        <w:ind w:left="288" w:hanging="288"/>
      </w:pPr>
      <w:r>
        <w:rPr>
          <w:b/>
        </w:rPr>
        <w:t xml:space="preserve">P04. </w:t>
      </w:r>
      <w:r>
        <w:t>Proteomic profiling identifies novel inflammation-related plasma proteins associated with ischemic stroke outcome</w:t>
      </w:r>
      <w:r>
        <w:t xml:space="preserve"> DOI: 10.1186/s12974-023-02912-9.</w:t>
      </w:r>
      <w:r>
        <w:t xml:space="preserve"> PMID: 37794467.</w:t>
      </w:r>
      <w:r>
        <w:t xml:space="preserve"> </w:t>
      </w:r>
      <w:hyperlink r:id="rId14">
        <w:r>
          <w:rPr>
            <w:color w:val="177C78"/>
            <w:u w:val="single"/>
          </w:rPr>
          <w:t>Open source record</w:t>
        </w:r>
      </w:hyperlink>
    </w:p>
    <w:p>
      <w:pPr>
        <w:spacing w:after="60"/>
        <w:ind w:left="288" w:hanging="288"/>
      </w:pPr>
      <w:r>
        <w:rPr>
          <w:b/>
        </w:rPr>
        <w:t xml:space="preserve">P05. </w:t>
      </w:r>
      <w:r>
        <w:t>Correlations Between Serum CXCL9/12 and the Severity of Acute Ischemic Stroke, a Retrospective Observational Study</w:t>
      </w:r>
      <w:r>
        <w:t xml:space="preserve"> DOI: 10.2147/NDT.S391578.</w:t>
      </w:r>
      <w:r>
        <w:t xml:space="preserve"> PMID: 36744204.</w:t>
      </w:r>
      <w:r>
        <w:t xml:space="preserve"> </w:t>
      </w:r>
      <w:hyperlink r:id="rId15">
        <w:r>
          <w:rPr>
            <w:color w:val="177C78"/>
            <w:u w:val="single"/>
          </w:rPr>
          <w:t>Open source record</w:t>
        </w:r>
      </w:hyperlink>
    </w:p>
    <w:p>
      <w:pPr>
        <w:spacing w:after="60"/>
        <w:ind w:left="288" w:hanging="288"/>
      </w:pPr>
      <w:r>
        <w:rPr>
          <w:b/>
        </w:rPr>
        <w:t xml:space="preserve">P06. </w:t>
      </w:r>
      <w:r>
        <w:t>Monocyte Chemoattractant Protein-1, Inflammatory Biomarkers, and Prognosis of Patients With Ischemic Stroke or Transient Ischemic Attack: Findings From a Nationwide Registry Study</w:t>
      </w:r>
      <w:r>
        <w:t xml:space="preserve"> DOI: 10.1161/JAHA.124.035820.</w:t>
      </w:r>
      <w:r>
        <w:t xml:space="preserve"> PMID: 39119971.</w:t>
      </w:r>
      <w:r>
        <w:t xml:space="preserve"> </w:t>
      </w:r>
      <w:hyperlink r:id="rId16">
        <w:r>
          <w:rPr>
            <w:color w:val="177C78"/>
            <w:u w:val="single"/>
          </w:rPr>
          <w:t>Open source record</w:t>
        </w:r>
      </w:hyperlink>
    </w:p>
    <w:p>
      <w:pPr>
        <w:spacing w:after="60"/>
        <w:ind w:left="288" w:hanging="288"/>
      </w:pPr>
      <w:r>
        <w:rPr>
          <w:b/>
        </w:rPr>
        <w:t xml:space="preserve">P07. </w:t>
      </w:r>
      <w:r>
        <w:t>High plasma fibroblast growth factor 19 is associated with improved prognosis in patients with acute ischemic stroke</w:t>
      </w:r>
      <w:r>
        <w:t xml:space="preserve"> DOI: 10.1016/j.clnu.2025.03.013.</w:t>
      </w:r>
      <w:r>
        <w:t xml:space="preserve"> PMID: 40117962.</w:t>
      </w:r>
      <w:r>
        <w:t xml:space="preserve"> </w:t>
      </w:r>
      <w:hyperlink r:id="rId17">
        <w:r>
          <w:rPr>
            <w:color w:val="177C78"/>
            <w:u w:val="single"/>
          </w:rPr>
          <w:t>Open source record</w:t>
        </w:r>
      </w:hyperlink>
    </w:p>
    <w:p>
      <w:pPr>
        <w:spacing w:after="60"/>
        <w:ind w:left="288" w:hanging="288"/>
      </w:pPr>
      <w:r>
        <w:rPr>
          <w:b/>
        </w:rPr>
        <w:t xml:space="preserve">P08. </w:t>
      </w:r>
      <w:r>
        <w:t>Pericyte Microvesicles as Plasma Biomarkers Reflecting Brain Microvascular Signaling in Patients With Acute Ischemic Stroke</w:t>
      </w:r>
      <w:r>
        <w:t xml:space="preserve"> DOI: 10.1161/STROKEAHA.123.045720.</w:t>
      </w:r>
      <w:r>
        <w:t xml:space="preserve"> PMID: 38323422.</w:t>
      </w:r>
      <w:r>
        <w:t xml:space="preserve"> </w:t>
      </w:r>
      <w:hyperlink r:id="rId18">
        <w:r>
          <w:rPr>
            <w:color w:val="177C78"/>
            <w:u w:val="single"/>
          </w:rPr>
          <w:t>Open source record</w:t>
        </w:r>
      </w:hyperlink>
    </w:p>
    <w:p>
      <w:pPr>
        <w:spacing w:after="60"/>
        <w:ind w:left="288" w:hanging="288"/>
      </w:pPr>
      <w:r>
        <w:rPr>
          <w:b/>
        </w:rPr>
        <w:t xml:space="preserve">P09. </w:t>
      </w:r>
      <w:r>
        <w:t>Local Leukocyte Invasion during Hyperacute Human Ischemic Stroke</w:t>
      </w:r>
      <w:r>
        <w:t xml:space="preserve"> DOI: 10.1002/ana.25438.</w:t>
      </w:r>
      <w:r>
        <w:t xml:space="preserve"> PMID: 31899551.</w:t>
      </w:r>
      <w:r>
        <w:t xml:space="preserve"> </w:t>
      </w:r>
      <w:hyperlink r:id="rId19">
        <w:r>
          <w:rPr>
            <w:color w:val="177C78"/>
            <w:u w:val="single"/>
          </w:rPr>
          <w:t>Open source record</w:t>
        </w:r>
      </w:hyperlink>
    </w:p>
    <w:p>
      <w:pPr>
        <w:spacing w:after="60"/>
        <w:ind w:left="288" w:hanging="288"/>
      </w:pPr>
      <w:r>
        <w:rPr>
          <w:b/>
        </w:rPr>
        <w:t xml:space="preserve">P10. </w:t>
      </w:r>
      <w:r>
        <w:t>Plasma protein alterations during human large vessel stroke: A controlled comparison study</w:t>
      </w:r>
      <w:r>
        <w:t xml:space="preserve"> DOI: 10.1016/j.neuint.2022.105421.</w:t>
      </w:r>
      <w:r>
        <w:t xml:space="preserve"> PMID: 36179808.</w:t>
      </w:r>
      <w:r>
        <w:t xml:space="preserve"> </w:t>
      </w:r>
      <w:hyperlink r:id="rId20">
        <w:r>
          <w:rPr>
            <w:color w:val="177C78"/>
            <w:u w:val="single"/>
          </w:rPr>
          <w:t>Open source record</w:t>
        </w:r>
      </w:hyperlink>
    </w:p>
    <w:p>
      <w:pPr>
        <w:spacing w:after="60"/>
        <w:ind w:left="288" w:hanging="288"/>
      </w:pPr>
      <w:r>
        <w:rPr>
          <w:b/>
        </w:rPr>
        <w:t xml:space="preserve">P11. </w:t>
      </w:r>
      <w:r>
        <w:t>Serum levels of cytokines and C-reactive protein in acute ischemic stroke patients, and their relationship to stroke lateralization, type, and infarct volume</w:t>
      </w:r>
      <w:r>
        <w:t xml:space="preserve"> DOI: 10.1007/s00415-011-6006-0.</w:t>
      </w:r>
      <w:r>
        <w:t xml:space="preserve"> PMID: 21424610.</w:t>
      </w:r>
      <w:r>
        <w:t xml:space="preserve"> </w:t>
      </w:r>
      <w:hyperlink r:id="rId21">
        <w:r>
          <w:rPr>
            <w:color w:val="177C78"/>
            <w:u w:val="single"/>
          </w:rPr>
          <w:t>Open source record</w:t>
        </w:r>
      </w:hyperlink>
    </w:p>
    <w:p>
      <w:pPr>
        <w:spacing w:after="60"/>
        <w:ind w:left="288" w:hanging="288"/>
      </w:pPr>
      <w:r>
        <w:rPr>
          <w:b/>
        </w:rPr>
        <w:t xml:space="preserve">P12. </w:t>
      </w:r>
      <w:r>
        <w:t>Plasma Fibroblast Growth Factor 23 Concentration Is Associated with Intracranial Cerebral Atherosclerosis in Acute Ischemic Stroke Patients</w:t>
      </w:r>
      <w:r>
        <w:t xml:space="preserve"> DOI: 10.3988/jcn.2020.16.1.29.</w:t>
      </w:r>
      <w:r>
        <w:t xml:space="preserve"> PMID: 31942755.</w:t>
      </w:r>
      <w:r>
        <w:t xml:space="preserve"> </w:t>
      </w:r>
      <w:hyperlink r:id="rId22">
        <w:r>
          <w:rPr>
            <w:color w:val="177C78"/>
            <w:u w:val="single"/>
          </w:rPr>
          <w:t>Open source record</w:t>
        </w:r>
      </w:hyperlink>
    </w:p>
    <w:p>
      <w:pPr>
        <w:spacing w:after="60"/>
        <w:ind w:left="288" w:hanging="288"/>
      </w:pPr>
      <w:r>
        <w:rPr>
          <w:b/>
        </w:rPr>
        <w:t xml:space="preserve">P13. </w:t>
      </w:r>
      <w:r>
        <w:t>The differential proteomic response to ischemic stroke in Appalachian subjects treated with mechanical thrombectomy</w:t>
      </w:r>
      <w:r>
        <w:t xml:space="preserve"> DOI: 10.1186/s12974-024-03201-9.</w:t>
      </w:r>
      <w:r>
        <w:t xml:space="preserve"> PMID: 39154085.</w:t>
      </w:r>
      <w:r>
        <w:t xml:space="preserve"> </w:t>
      </w:r>
      <w:hyperlink r:id="rId23">
        <w:r>
          <w:rPr>
            <w:color w:val="177C78"/>
            <w:u w:val="single"/>
          </w:rPr>
          <w:t>Open source record</w:t>
        </w:r>
      </w:hyperlink>
    </w:p>
    <w:p>
      <w:pPr>
        <w:spacing w:after="60"/>
        <w:ind w:left="288" w:hanging="288"/>
      </w:pPr>
      <w:r>
        <w:rPr>
          <w:b/>
        </w:rPr>
        <w:t xml:space="preserve">P14. </w:t>
      </w:r>
      <w:r>
        <w:t>Prognostic value of plasma fibroblast growth factor 21 among patients with acute ischemic stroke</w:t>
      </w:r>
      <w:r>
        <w:t xml:space="preserve"> DOI: 10.1111/ene.14683.</w:t>
      </w:r>
      <w:r>
        <w:t xml:space="preserve"> PMID: 33320402.</w:t>
      </w:r>
      <w:r>
        <w:t xml:space="preserve"> </w:t>
      </w:r>
      <w:hyperlink r:id="rId24">
        <w:r>
          <w:rPr>
            <w:color w:val="177C78"/>
            <w:u w:val="single"/>
          </w:rPr>
          <w:t>Open source record</w:t>
        </w:r>
      </w:hyperlink>
    </w:p>
    <w:p>
      <w:pPr>
        <w:spacing w:after="60"/>
        <w:ind w:left="288" w:hanging="288"/>
      </w:pPr>
      <w:r>
        <w:rPr>
          <w:b/>
        </w:rPr>
        <w:t xml:space="preserve">P15. </w:t>
      </w:r>
      <w:r>
        <w:t>Plasma homeostatic chemokines CCL19 and CCL21 and the prognosis of ischemic stroke in two Chinese prospective cohorts</w:t>
      </w:r>
      <w:r>
        <w:t xml:space="preserve"> DOI: 10.1111/ene.15959.</w:t>
      </w:r>
      <w:r>
        <w:t xml:space="preserve"> PMID: 37399099.</w:t>
      </w:r>
      <w:r>
        <w:t xml:space="preserve"> </w:t>
      </w:r>
      <w:hyperlink r:id="rId25">
        <w:r>
          <w:rPr>
            <w:color w:val="177C78"/>
            <w:u w:val="single"/>
          </w:rPr>
          <w:t>Open source record</w:t>
        </w:r>
      </w:hyperlink>
    </w:p>
    <w:p>
      <w:pPr>
        <w:spacing w:after="60"/>
        <w:ind w:left="288" w:hanging="288"/>
      </w:pPr>
      <w:r>
        <w:rPr>
          <w:b/>
        </w:rPr>
        <w:t xml:space="preserve">P16. </w:t>
      </w:r>
      <w:r>
        <w:t>Cohort study on the differential expression of inflammatory and angiogenic factors in thrombi, cerebral and peripheral plasma following acute large vessel occlusion stroke</w:t>
      </w:r>
      <w:r>
        <w:t xml:space="preserve"> DOI: 10.1177/0271678X221106956.</w:t>
      </w:r>
      <w:r>
        <w:t xml:space="preserve"> PMID: 35673992.</w:t>
      </w:r>
      <w:r>
        <w:t xml:space="preserve"> </w:t>
      </w:r>
      <w:hyperlink r:id="rId26">
        <w:r>
          <w:rPr>
            <w:color w:val="177C78"/>
            <w:u w:val="single"/>
          </w:rPr>
          <w:t>Open source record</w:t>
        </w:r>
      </w:hyperlink>
    </w:p>
    <w:p>
      <w:pPr>
        <w:spacing w:after="60"/>
        <w:ind w:left="288" w:hanging="288"/>
      </w:pPr>
      <w:r>
        <w:rPr>
          <w:b/>
        </w:rPr>
        <w:t xml:space="preserve">P17. </w:t>
      </w:r>
      <w:r>
        <w:t>proMetalloproteinase-10 is associated with brain damage and clinical outcome in acute ischemic stroke</w:t>
      </w:r>
      <w:r>
        <w:t xml:space="preserve"> DOI: 10.1111/jth.12312.</w:t>
      </w:r>
      <w:r>
        <w:t xml:space="preserve"> PMID: 23742289.</w:t>
      </w:r>
      <w:r>
        <w:t xml:space="preserve"> </w:t>
      </w:r>
      <w:hyperlink r:id="rId27">
        <w:r>
          <w:rPr>
            <w:color w:val="177C78"/>
            <w:u w:val="single"/>
          </w:rPr>
          <w:t>Open source record</w:t>
        </w:r>
      </w:hyperlink>
    </w:p>
    <w:p>
      <w:pPr>
        <w:spacing w:after="60"/>
        <w:ind w:left="288" w:hanging="288"/>
      </w:pPr>
      <w:r>
        <w:rPr>
          <w:b/>
        </w:rPr>
        <w:t xml:space="preserve">P18. </w:t>
      </w:r>
      <w:r>
        <w:t>The screening assessment of pro-inflammatory, anti-inflammatory, Th1, Th2 and Th17 cytokines in saliva of patients with ischemic stroke</w:t>
      </w:r>
      <w:r>
        <w:t xml:space="preserve"> DOI: 10.7150/ijms.110452.</w:t>
      </w:r>
      <w:r>
        <w:t xml:space="preserve"> PMID: 40520895.</w:t>
      </w:r>
      <w:r>
        <w:t xml:space="preserve"> </w:t>
      </w:r>
      <w:hyperlink r:id="rId28">
        <w:r>
          <w:rPr>
            <w:color w:val="177C78"/>
            <w:u w:val="single"/>
          </w:rPr>
          <w:t>Open source record</w:t>
        </w:r>
      </w:hyperlink>
    </w:p>
    <w:p>
      <w:pPr>
        <w:spacing w:after="60"/>
        <w:ind w:left="288" w:hanging="288"/>
      </w:pPr>
      <w:r>
        <w:rPr>
          <w:b/>
        </w:rPr>
        <w:t xml:space="preserve">P19. </w:t>
      </w:r>
      <w:r>
        <w:t>The temporal dynamics of plasma fractalkine levels in ischemic stroke: association with clinical severity and outcome</w:t>
      </w:r>
      <w:r>
        <w:t xml:space="preserve"> DOI: 10.1186/1742-2094-11-74.</w:t>
      </w:r>
      <w:r>
        <w:t xml:space="preserve"> PMID: 24722201.</w:t>
      </w:r>
      <w:r>
        <w:t xml:space="preserve"> </w:t>
      </w:r>
      <w:hyperlink r:id="rId29">
        <w:r>
          <w:rPr>
            <w:color w:val="177C78"/>
            <w:u w:val="single"/>
          </w:rPr>
          <w:t>Open source record</w:t>
        </w:r>
      </w:hyperlink>
    </w:p>
    <w:p>
      <w:pPr>
        <w:spacing w:after="60"/>
        <w:ind w:left="288" w:hanging="288"/>
      </w:pPr>
      <w:r>
        <w:rPr>
          <w:b/>
        </w:rPr>
        <w:t xml:space="preserve">P20. </w:t>
      </w:r>
      <w:r>
        <w:t>Serum adenosine deaminase activity and acute cerebral infarction: a retrospective case-control study based on 7913 participants</w:t>
      </w:r>
      <w:r>
        <w:t xml:space="preserve"> DOI: 10.18632/aging.204338.</w:t>
      </w:r>
      <w:r>
        <w:t xml:space="preserve"> PMID: 36260871.</w:t>
      </w:r>
      <w:r>
        <w:t xml:space="preserve"> </w:t>
      </w:r>
      <w:hyperlink r:id="rId30">
        <w:r>
          <w:rPr>
            <w:color w:val="177C78"/>
            <w:u w:val="single"/>
          </w:rPr>
          <w:t>Open source record</w:t>
        </w:r>
      </w:hyperlink>
    </w:p>
    <w:p>
      <w:pPr>
        <w:spacing w:after="60"/>
        <w:ind w:left="288" w:hanging="288"/>
      </w:pPr>
      <w:r>
        <w:rPr>
          <w:b/>
        </w:rPr>
        <w:t xml:space="preserve">P21. </w:t>
      </w:r>
      <w:r>
        <w:t>Activated leukocyte cell adhesion molecule and prognosis in acute ischemic stroke</w:t>
      </w:r>
      <w:r>
        <w:t xml:space="preserve"> DOI: 10.1161/STROKEAHA.110.612440.</w:t>
      </w:r>
      <w:r>
        <w:t xml:space="preserve"> PMID: 21757661.</w:t>
      </w:r>
      <w:r>
        <w:t xml:space="preserve"> </w:t>
      </w:r>
      <w:hyperlink r:id="rId31">
        <w:r>
          <w:rPr>
            <w:color w:val="177C78"/>
            <w:u w:val="single"/>
          </w:rPr>
          <w:t>Open source record</w:t>
        </w:r>
      </w:hyperlink>
    </w:p>
    <w:p>
      <w:pPr>
        <w:spacing w:after="60"/>
        <w:ind w:left="288" w:hanging="288"/>
      </w:pPr>
      <w:r>
        <w:rPr>
          <w:b/>
        </w:rPr>
        <w:t xml:space="preserve">P22. </w:t>
      </w:r>
      <w:r>
        <w:t>CD84 Links T Cell and Platelet Activity in Cerebral Thrombo-Inflammation in Acute Stroke</w:t>
      </w:r>
      <w:r>
        <w:t xml:space="preserve"> DOI: 10.1161/CIRCRESAHA.120.316655.</w:t>
      </w:r>
      <w:r>
        <w:t xml:space="preserve"> PMID: 32762491.</w:t>
      </w:r>
      <w:r>
        <w:t xml:space="preserve"> </w:t>
      </w:r>
      <w:hyperlink r:id="rId32">
        <w:r>
          <w:rPr>
            <w:color w:val="177C78"/>
            <w:u w:val="single"/>
          </w:rPr>
          <w:t>Open source record</w:t>
        </w:r>
      </w:hyperlink>
    </w:p>
    <w:p>
      <w:pPr>
        <w:spacing w:after="60"/>
        <w:ind w:left="288" w:hanging="288"/>
      </w:pPr>
      <w:r>
        <w:rPr>
          <w:b/>
        </w:rPr>
        <w:t xml:space="preserve">P23. </w:t>
      </w:r>
      <w:r>
        <w:t>Plasma Galectin-4 Levels Are Increased after Stroke in Mice and Humans</w:t>
      </w:r>
      <w:r>
        <w:t xml:space="preserve"> DOI: 10.3390/ijms241210064.</w:t>
      </w:r>
      <w:r>
        <w:t xml:space="preserve"> PMID: 37373212.</w:t>
      </w:r>
      <w:r>
        <w:t xml:space="preserve"> </w:t>
      </w:r>
      <w:hyperlink r:id="rId33">
        <w:r>
          <w:rPr>
            <w:color w:val="177C78"/>
            <w:u w:val="single"/>
          </w:rPr>
          <w:t>Open source record</w:t>
        </w:r>
      </w:hyperlink>
    </w:p>
    <w:p>
      <w:pPr>
        <w:spacing w:after="60"/>
        <w:ind w:left="288" w:hanging="288"/>
      </w:pPr>
      <w:r>
        <w:rPr>
          <w:b/>
        </w:rPr>
        <w:t xml:space="preserve">P24. </w:t>
      </w:r>
      <w:r>
        <w:t>Identification of Blood Biomarkers in Ischemic Stroke by Integrated Analysis of Metabolomics and Proteomics</w:t>
      </w:r>
      <w:r>
        <w:t xml:space="preserve"> DOI: 10.1021/acs.jproteome.4c00394.</w:t>
      </w:r>
      <w:r>
        <w:t xml:space="preserve"> PMID: 39167481.</w:t>
      </w:r>
      <w:r>
        <w:t xml:space="preserve"> </w:t>
      </w:r>
      <w:hyperlink r:id="rId34">
        <w:r>
          <w:rPr>
            <w:color w:val="177C78"/>
            <w:u w:val="single"/>
          </w:rPr>
          <w:t>Open source record</w:t>
        </w:r>
      </w:hyperlink>
    </w:p>
    <w:p>
      <w:pPr>
        <w:spacing w:after="60"/>
        <w:ind w:left="288" w:hanging="288"/>
      </w:pPr>
      <w:r>
        <w:rPr>
          <w:b/>
        </w:rPr>
        <w:t xml:space="preserve">P25. </w:t>
      </w:r>
      <w:r>
        <w:t>CT hyperdense cerebral artery sign reflects distinct proteomic composition in acute ischemic stroke thrombus</w:t>
      </w:r>
      <w:r>
        <w:t xml:space="preserve"> DOI: 10.1136/jnis-2022-019937.</w:t>
      </w:r>
      <w:r>
        <w:t xml:space="preserve"> PMID: 36878687.</w:t>
      </w:r>
      <w:r>
        <w:t xml:space="preserve"> </w:t>
      </w:r>
      <w:hyperlink r:id="rId35">
        <w:r>
          <w:rPr>
            <w:color w:val="177C78"/>
            <w:u w:val="single"/>
          </w:rPr>
          <w:t>Open source record</w:t>
        </w:r>
      </w:hyperlink>
    </w:p>
    <w:p>
      <w:pPr>
        <w:spacing w:after="60"/>
        <w:ind w:left="288" w:hanging="288"/>
      </w:pPr>
      <w:r>
        <w:rPr>
          <w:b/>
        </w:rPr>
        <w:t xml:space="preserve">P26. </w:t>
      </w:r>
      <w:r>
        <w:t>Biomarkers of atherothrombotic and cardioembolic subtypes of acute ischemic stroke</w:t>
      </w:r>
      <w:r>
        <w:t xml:space="preserve"> DOI: 10.17116/jnevro202412412220.</w:t>
      </w:r>
      <w:r>
        <w:t xml:space="preserve"> PMID: 39831358.</w:t>
      </w:r>
      <w:r>
        <w:t xml:space="preserve"> </w:t>
      </w:r>
      <w:hyperlink r:id="rId36">
        <w:r>
          <w:rPr>
            <w:color w:val="177C78"/>
            <w:u w:val="single"/>
          </w:rPr>
          <w:t>Open source record</w:t>
        </w:r>
      </w:hyperlink>
    </w:p>
    <w:p>
      <w:pPr>
        <w:spacing w:after="60"/>
        <w:ind w:left="288" w:hanging="288"/>
      </w:pPr>
      <w:r>
        <w:rPr>
          <w:b/>
        </w:rPr>
        <w:t xml:space="preserve">P27. </w:t>
      </w:r>
      <w:r>
        <w:t>Inflammatory Markers are Associated with Ischemic Stroke among Indigenous Africans: Evidence from the SIREN Study [preprint]</w:t>
      </w:r>
      <w:r>
        <w:t xml:space="preserve"> DOI: 10.1101/2025.08.10.25331295.</w:t>
      </w:r>
      <w:r>
        <w:t xml:space="preserve"> PMID: 40832370.</w:t>
      </w:r>
      <w:r>
        <w:t xml:space="preserve"> </w:t>
      </w:r>
      <w:hyperlink r:id="rId37">
        <w:r>
          <w:rPr>
            <w:color w:val="177C78"/>
            <w:u w:val="single"/>
          </w:rPr>
          <w:t>Open source record</w:t>
        </w:r>
      </w:hyperlink>
    </w:p>
    <w:p>
      <w:pPr>
        <w:pStyle w:val="Heading2"/>
      </w:pPr>
      <w:r>
        <w:t>Additional candidate-generation sources</w:t>
      </w:r>
    </w:p>
    <w:p>
      <w:pPr>
        <w:spacing w:after="60"/>
        <w:ind w:left="288" w:hanging="288"/>
      </w:pPr>
      <w:r>
        <w:rPr>
          <w:b/>
        </w:rPr>
        <w:t xml:space="preserve">C01. </w:t>
      </w:r>
      <w:r>
        <w:t>Targeted plasma proteomics reveals a central role of upregulated TNFRSF proteins in HIV-associated stroke</w:t>
      </w:r>
      <w:r>
        <w:t xml:space="preserve"> DOI: 10.1038/s41467-026-74258-8.</w:t>
      </w:r>
      <w:r>
        <w:t xml:space="preserve"> PMID: 42265127.</w:t>
      </w:r>
      <w:r>
        <w:t xml:space="preserve"> </w:t>
      </w:r>
      <w:hyperlink r:id="rId38">
        <w:r>
          <w:rPr>
            <w:color w:val="177C78"/>
            <w:u w:val="single"/>
          </w:rPr>
          <w:t>Open source record</w:t>
        </w:r>
      </w:hyperlink>
    </w:p>
    <w:p>
      <w:pPr>
        <w:spacing w:after="60"/>
        <w:ind w:left="288" w:hanging="288"/>
      </w:pPr>
      <w:r>
        <w:rPr>
          <w:b/>
        </w:rPr>
        <w:t xml:space="preserve">C02. </w:t>
      </w:r>
      <w:r>
        <w:t>Investigation of 91 proteins implicated in neurobiological processes identifies multiple candidate plasma biomarkers of stroke outcome</w:t>
      </w:r>
      <w:r>
        <w:t xml:space="preserve"> DOI: 10.1038/s41598-022-23288-5.</w:t>
      </w:r>
      <w:r>
        <w:t xml:space="preserve"> PMID: 36418382.</w:t>
      </w:r>
      <w:r>
        <w:t xml:space="preserve"> </w:t>
      </w:r>
      <w:hyperlink r:id="rId39">
        <w:r>
          <w:rPr>
            <w:color w:val="177C78"/>
            <w:u w:val="single"/>
          </w:rPr>
          <w:t>Open source record</w:t>
        </w:r>
      </w:hyperlink>
    </w:p>
    <w:p>
      <w:pPr>
        <w:spacing w:after="60"/>
        <w:ind w:left="288" w:hanging="288"/>
      </w:pPr>
      <w:r>
        <w:rPr>
          <w:b/>
        </w:rPr>
        <w:t xml:space="preserve">C03. </w:t>
      </w:r>
      <w:r>
        <w:t>Screening of Multiple Biomarkers Associated With Ischemic Stroke in Atrial Fibrillation</w:t>
      </w:r>
      <w:r>
        <w:t xml:space="preserve"> DOI: 10.1161/JAHA.120.018984.</w:t>
      </w:r>
      <w:r>
        <w:t xml:space="preserve"> PMID: 33292046.</w:t>
      </w:r>
      <w:r>
        <w:t xml:space="preserve"> </w:t>
      </w:r>
      <w:hyperlink r:id="rId40">
        <w:r>
          <w:rPr>
            <w:color w:val="177C78"/>
            <w:u w:val="single"/>
          </w:rPr>
          <w:t>Open source record</w:t>
        </w:r>
      </w:hyperlink>
    </w:p>
    <w:p>
      <w:pPr>
        <w:spacing w:after="60"/>
        <w:ind w:left="288" w:hanging="288"/>
      </w:pPr>
      <w:r>
        <w:rPr>
          <w:b/>
        </w:rPr>
        <w:t xml:space="preserve">M01. </w:t>
      </w:r>
      <w:r>
        <w:t>Evolutionary-scale prediction of atomic-level protein structure with a language model</w:t>
      </w:r>
      <w:r>
        <w:t xml:space="preserve"> DOI: 10.1126/science.ade2574.</w:t>
      </w:r>
      <w:r>
        <w:t xml:space="preserve"> </w:t>
      </w:r>
      <w:hyperlink r:id="rId41">
        <w:r>
          <w:rPr>
            <w:color w:val="177C78"/>
            <w:u w:val="single"/>
          </w:rPr>
          <w:t>Open source record</w:t>
        </w:r>
      </w:hyperlink>
    </w:p>
    <w:p>
      <w:pPr>
        <w:spacing w:after="60"/>
        <w:ind w:left="288" w:hanging="288"/>
      </w:pPr>
      <w:r>
        <w:rPr>
          <w:b/>
        </w:rPr>
        <w:t xml:space="preserve">M02. </w:t>
      </w:r>
      <w:r>
        <w:t>Beware of Data Leakage from Protein LLM Pretraining</w:t>
      </w:r>
      <w:r>
        <w:t xml:space="preserve"> </w:t>
      </w:r>
      <w:hyperlink r:id="rId42">
        <w:r>
          <w:rPr>
            <w:color w:val="177C78"/>
            <w:u w:val="single"/>
          </w:rPr>
          <w:t>Open source record</w:t>
        </w:r>
      </w:hyperlink>
    </w:p>
    <w:p>
      <w:pPr>
        <w:pStyle w:val="Heading2"/>
      </w:pPr>
      <w:r>
        <w:t>Glossary</w:t>
      </w:r>
    </w:p>
    <w:tbl>
      <w:tblPr>
        <w:tblStyle w:val="TableGrid"/>
        <w:tblW w:type="auto" w:w="0"/>
        <w:tblLayout w:type="fixed"/>
        <w:tblLook w:firstColumn="1" w:firstRow="1" w:lastColumn="0" w:lastRow="0" w:noHBand="0" w:noVBand="1" w:val="04A0"/>
      </w:tblPr>
      <w:tblGrid>
        <w:gridCol w:w="5256"/>
        <w:gridCol w:w="5256"/>
      </w:tblGrid>
      <w:tr>
        <w:trPr>
          <w:tblHeader w:val="true"/>
        </w:trPr>
        <w:tc>
          <w:tcPr>
            <w:tcW w:type="dxa" w:w="2592"/>
            <w:shd w:fill="17324D"/>
            <w:vAlign w:val="center"/>
            <w:tcMar>
              <w:top w:w="90" w:type="dxa"/>
              <w:start w:w="110" w:type="dxa"/>
              <w:bottom w:w="90" w:type="dxa"/>
              <w:end w:w="110" w:type="dxa"/>
            </w:tcMar>
          </w:tcPr>
          <w:p>
            <w:pPr>
              <w:spacing w:after="0"/>
            </w:pPr>
            <w:r>
              <w:rPr>
                <w:b/>
                <w:color w:val="FFFFFF"/>
                <w:sz w:val="17"/>
              </w:rPr>
              <w:t>Term</w:t>
            </w:r>
          </w:p>
        </w:tc>
        <w:tc>
          <w:tcPr>
            <w:tcW w:type="dxa" w:w="7488"/>
            <w:shd w:fill="17324D"/>
            <w:vAlign w:val="center"/>
            <w:tcMar>
              <w:top w:w="90" w:type="dxa"/>
              <w:start w:w="110" w:type="dxa"/>
              <w:bottom w:w="90" w:type="dxa"/>
              <w:end w:w="110" w:type="dxa"/>
            </w:tcMar>
          </w:tcPr>
          <w:p>
            <w:pPr>
              <w:spacing w:after="0"/>
            </w:pPr>
            <w:r>
              <w:rPr>
                <w:b/>
                <w:color w:val="FFFFFF"/>
                <w:sz w:val="17"/>
              </w:rPr>
              <w:t>Plain-language explanation</w:t>
            </w:r>
          </w:p>
        </w:tc>
      </w:tr>
      <w:tr>
        <w:trPr>
          <w:cantSplit/>
        </w:trPr>
        <w:tc>
          <w:tcPr>
            <w:tcW w:type="dxa" w:w="2592"/>
            <w:vAlign w:val="top"/>
            <w:tcMar>
              <w:top w:w="90" w:type="dxa"/>
              <w:start w:w="110" w:type="dxa"/>
              <w:bottom w:w="90" w:type="dxa"/>
              <w:end w:w="110" w:type="dxa"/>
            </w:tcMar>
          </w:tcPr>
          <w:p>
            <w:pPr>
              <w:spacing w:after="0" w:line="250" w:lineRule="auto"/>
            </w:pPr>
            <w:r>
              <w:rPr>
                <w:sz w:val="17"/>
              </w:rPr>
              <w:t>Amino-acid sequence</w:t>
            </w:r>
          </w:p>
        </w:tc>
        <w:tc>
          <w:tcPr>
            <w:tcW w:type="dxa" w:w="7488"/>
            <w:vAlign w:val="top"/>
            <w:tcMar>
              <w:top w:w="90" w:type="dxa"/>
              <w:start w:w="110" w:type="dxa"/>
              <w:bottom w:w="90" w:type="dxa"/>
              <w:end w:w="110" w:type="dxa"/>
            </w:tcMar>
          </w:tcPr>
          <w:p>
            <w:pPr>
              <w:spacing w:after="0" w:line="250" w:lineRule="auto"/>
            </w:pPr>
            <w:r>
              <w:rPr>
                <w:sz w:val="17"/>
              </w:rPr>
              <w:t>The ordered string of amino-acid letters that makes up a protein.</w:t>
            </w:r>
          </w:p>
        </w:tc>
      </w:tr>
      <w:tr>
        <w:trPr>
          <w:cantSplit/>
        </w:trPr>
        <w:tc>
          <w:tcPr>
            <w:tcW w:type="dxa" w:w="2592"/>
            <w:vAlign w:val="top"/>
            <w:tcMar>
              <w:top w:w="90" w:type="dxa"/>
              <w:start w:w="110" w:type="dxa"/>
              <w:bottom w:w="90" w:type="dxa"/>
              <w:end w:w="110" w:type="dxa"/>
            </w:tcMar>
          </w:tcPr>
          <w:p>
            <w:pPr>
              <w:spacing w:after="0" w:line="250" w:lineRule="auto"/>
            </w:pPr>
            <w:r>
              <w:rPr>
                <w:sz w:val="17"/>
              </w:rPr>
              <w:t>FASTA</w:t>
            </w:r>
          </w:p>
        </w:tc>
        <w:tc>
          <w:tcPr>
            <w:tcW w:type="dxa" w:w="7488"/>
            <w:vAlign w:val="top"/>
            <w:tcMar>
              <w:top w:w="90" w:type="dxa"/>
              <w:start w:w="110" w:type="dxa"/>
              <w:bottom w:w="90" w:type="dxa"/>
              <w:end w:w="110" w:type="dxa"/>
            </w:tcMar>
          </w:tcPr>
          <w:p>
            <w:pPr>
              <w:spacing w:after="0" w:line="250" w:lineRule="auto"/>
            </w:pPr>
            <w:r>
              <w:rPr>
                <w:sz w:val="17"/>
              </w:rPr>
              <w:t>A common text format for biological sequences; a header line begins with &gt;.</w:t>
            </w:r>
          </w:p>
        </w:tc>
      </w:tr>
      <w:tr>
        <w:trPr>
          <w:cantSplit/>
        </w:trPr>
        <w:tc>
          <w:tcPr>
            <w:tcW w:type="dxa" w:w="2592"/>
            <w:vAlign w:val="top"/>
            <w:tcMar>
              <w:top w:w="90" w:type="dxa"/>
              <w:start w:w="110" w:type="dxa"/>
              <w:bottom w:w="90" w:type="dxa"/>
              <w:end w:w="110" w:type="dxa"/>
            </w:tcMar>
          </w:tcPr>
          <w:p>
            <w:pPr>
              <w:spacing w:after="0" w:line="250" w:lineRule="auto"/>
            </w:pPr>
            <w:r>
              <w:rPr>
                <w:sz w:val="17"/>
              </w:rPr>
              <w:t>Embedding</w:t>
            </w:r>
          </w:p>
        </w:tc>
        <w:tc>
          <w:tcPr>
            <w:tcW w:type="dxa" w:w="7488"/>
            <w:vAlign w:val="top"/>
            <w:tcMar>
              <w:top w:w="90" w:type="dxa"/>
              <w:start w:w="110" w:type="dxa"/>
              <w:bottom w:w="90" w:type="dxa"/>
              <w:end w:w="110" w:type="dxa"/>
            </w:tcMar>
          </w:tcPr>
          <w:p>
            <w:pPr>
              <w:spacing w:after="0" w:line="250" w:lineRule="auto"/>
            </w:pPr>
            <w:r>
              <w:rPr>
                <w:sz w:val="17"/>
              </w:rPr>
              <w:t>A list of numbers made by a model to summarize a sequence for a later classifier.</w:t>
            </w:r>
          </w:p>
        </w:tc>
      </w:tr>
      <w:tr>
        <w:trPr>
          <w:cantSplit/>
        </w:trPr>
        <w:tc>
          <w:tcPr>
            <w:tcW w:type="dxa" w:w="2592"/>
            <w:vAlign w:val="top"/>
            <w:tcMar>
              <w:top w:w="90" w:type="dxa"/>
              <w:start w:w="110" w:type="dxa"/>
              <w:bottom w:w="90" w:type="dxa"/>
              <w:end w:w="110" w:type="dxa"/>
            </w:tcMar>
          </w:tcPr>
          <w:p>
            <w:pPr>
              <w:spacing w:after="0" w:line="250" w:lineRule="auto"/>
            </w:pPr>
            <w:r>
              <w:rPr>
                <w:sz w:val="17"/>
              </w:rPr>
              <w:t>Threshold</w:t>
            </w:r>
          </w:p>
        </w:tc>
        <w:tc>
          <w:tcPr>
            <w:tcW w:type="dxa" w:w="7488"/>
            <w:vAlign w:val="top"/>
            <w:tcMar>
              <w:top w:w="90" w:type="dxa"/>
              <w:start w:w="110" w:type="dxa"/>
              <w:bottom w:w="90" w:type="dxa"/>
              <w:end w:w="110" w:type="dxa"/>
            </w:tcMar>
          </w:tcPr>
          <w:p>
            <w:pPr>
              <w:spacing w:after="0" w:line="250" w:lineRule="auto"/>
            </w:pPr>
            <w:r>
              <w:rPr>
                <w:sz w:val="17"/>
              </w:rPr>
              <w:t>The score cutoff used to turn a numerical score into a displayed class.</w:t>
            </w:r>
          </w:p>
        </w:tc>
      </w:tr>
      <w:tr>
        <w:trPr>
          <w:cantSplit/>
        </w:trPr>
        <w:tc>
          <w:tcPr>
            <w:tcW w:type="dxa" w:w="2592"/>
            <w:vAlign w:val="top"/>
            <w:tcMar>
              <w:top w:w="90" w:type="dxa"/>
              <w:start w:w="110" w:type="dxa"/>
              <w:bottom w:w="90" w:type="dxa"/>
              <w:end w:w="110" w:type="dxa"/>
            </w:tcMar>
          </w:tcPr>
          <w:p>
            <w:pPr>
              <w:spacing w:after="0" w:line="250" w:lineRule="auto"/>
            </w:pPr>
            <w:r>
              <w:rPr>
                <w:sz w:val="17"/>
              </w:rPr>
              <w:t>Sequence-similarity group</w:t>
            </w:r>
          </w:p>
        </w:tc>
        <w:tc>
          <w:tcPr>
            <w:tcW w:type="dxa" w:w="7488"/>
            <w:vAlign w:val="top"/>
            <w:tcMar>
              <w:top w:w="90" w:type="dxa"/>
              <w:start w:w="110" w:type="dxa"/>
              <w:bottom w:w="90" w:type="dxa"/>
              <w:end w:w="110" w:type="dxa"/>
            </w:tcMar>
          </w:tcPr>
          <w:p>
            <w:pPr>
              <w:spacing w:after="0" w:line="250" w:lineRule="auto"/>
            </w:pPr>
            <w:r>
              <w:rPr>
                <w:sz w:val="17"/>
              </w:rPr>
              <w:t>A set of related sequences kept together in one data split to reduce leakage.</w:t>
            </w:r>
          </w:p>
        </w:tc>
      </w:tr>
      <w:tr>
        <w:trPr>
          <w:cantSplit/>
        </w:trPr>
        <w:tc>
          <w:tcPr>
            <w:tcW w:type="dxa" w:w="2592"/>
            <w:vAlign w:val="top"/>
            <w:tcMar>
              <w:top w:w="90" w:type="dxa"/>
              <w:start w:w="110" w:type="dxa"/>
              <w:bottom w:w="90" w:type="dxa"/>
              <w:end w:w="110" w:type="dxa"/>
            </w:tcMar>
          </w:tcPr>
          <w:p>
            <w:pPr>
              <w:spacing w:after="0" w:line="250" w:lineRule="auto"/>
            </w:pPr>
            <w:r>
              <w:rPr>
                <w:sz w:val="17"/>
              </w:rPr>
              <w:t>Candidate negative</w:t>
            </w:r>
          </w:p>
        </w:tc>
        <w:tc>
          <w:tcPr>
            <w:tcW w:type="dxa" w:w="7488"/>
            <w:vAlign w:val="top"/>
            <w:tcMar>
              <w:top w:w="90" w:type="dxa"/>
              <w:start w:w="110" w:type="dxa"/>
              <w:bottom w:w="90" w:type="dxa"/>
              <w:end w:w="110" w:type="dxa"/>
            </w:tcMar>
          </w:tcPr>
          <w:p>
            <w:pPr>
              <w:spacing w:after="0" w:line="250" w:lineRule="auto"/>
            </w:pPr>
            <w:r>
              <w:rPr>
                <w:sz w:val="17"/>
              </w:rPr>
              <w:t>A protein with no qualifying paper found in a limited search; not proof that no association exists.</w:t>
            </w:r>
          </w:p>
        </w:tc>
      </w:tr>
      <w:tr>
        <w:trPr>
          <w:cantSplit/>
        </w:trPr>
        <w:tc>
          <w:tcPr>
            <w:tcW w:type="dxa" w:w="2592"/>
            <w:vAlign w:val="top"/>
            <w:tcMar>
              <w:top w:w="90" w:type="dxa"/>
              <w:start w:w="110" w:type="dxa"/>
              <w:bottom w:w="90" w:type="dxa"/>
              <w:end w:w="110" w:type="dxa"/>
            </w:tcMar>
          </w:tcPr>
          <w:p>
            <w:pPr>
              <w:spacing w:after="0" w:line="250" w:lineRule="auto"/>
            </w:pPr>
            <w:r>
              <w:rPr>
                <w:sz w:val="17"/>
              </w:rPr>
              <w:t>Held-out test set</w:t>
            </w:r>
          </w:p>
        </w:tc>
        <w:tc>
          <w:tcPr>
            <w:tcW w:type="dxa" w:w="7488"/>
            <w:vAlign w:val="top"/>
            <w:tcMar>
              <w:top w:w="90" w:type="dxa"/>
              <w:start w:w="110" w:type="dxa"/>
              <w:bottom w:w="90" w:type="dxa"/>
              <w:end w:w="110" w:type="dxa"/>
            </w:tcMar>
          </w:tcPr>
          <w:p>
            <w:pPr>
              <w:spacing w:after="0" w:line="250" w:lineRule="auto"/>
            </w:pPr>
            <w:r>
              <w:rPr>
                <w:sz w:val="17"/>
              </w:rPr>
              <w:t>Examples kept separate until final evaluation to estimate how the fitted model behaves on unseen examples.</w:t>
            </w:r>
          </w:p>
        </w:tc>
      </w:tr>
    </w:tbl>
    <w:p>
      <w:pPr>
        <w:spacing w:after="40"/>
      </w:pPr>
    </w:p>
    <w:sectPr w:rsidR="00FC693F" w:rsidRPr="0006063C" w:rsidSect="00034616">
      <w:headerReference w:type="default" r:id="rId9"/>
      <w:footerReference w:type="default" r:id="rId10"/>
      <w:pgSz w:w="12240" w:h="15840"/>
      <w:pgMar w:top="979" w:right="864" w:bottom="979" w:left="864"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B79"/>
        <w:sz w:val="16"/>
      </w:rPr>
      <w:t xml:space="preserve">Protein-level research classification  •  Not a medical tool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B79"/>
        <w:sz w:val="16"/>
      </w:rPr>
      <w:t>STROKEPROT-AI  |  RESEARCH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32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7C78"/>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16/j.jstrokecerebrovasdis.2008.04.006" TargetMode="External"/><Relationship Id="rId12" Type="http://schemas.openxmlformats.org/officeDocument/2006/relationships/hyperlink" Target="https://doi.org/10.1212/WNL.0000000000004257" TargetMode="External"/><Relationship Id="rId13" Type="http://schemas.openxmlformats.org/officeDocument/2006/relationships/hyperlink" Target="https://doi.org/10.1161/STROKEAHA.114.006394" TargetMode="External"/><Relationship Id="rId14" Type="http://schemas.openxmlformats.org/officeDocument/2006/relationships/hyperlink" Target="https://doi.org/10.1186/s12974-023-02912-9" TargetMode="External"/><Relationship Id="rId15" Type="http://schemas.openxmlformats.org/officeDocument/2006/relationships/hyperlink" Target="https://doi.org/10.2147/NDT.S391578" TargetMode="External"/><Relationship Id="rId16" Type="http://schemas.openxmlformats.org/officeDocument/2006/relationships/hyperlink" Target="https://doi.org/10.1161/JAHA.124.035820" TargetMode="External"/><Relationship Id="rId17" Type="http://schemas.openxmlformats.org/officeDocument/2006/relationships/hyperlink" Target="https://doi.org/10.1016/j.clnu.2025.03.013" TargetMode="External"/><Relationship Id="rId18" Type="http://schemas.openxmlformats.org/officeDocument/2006/relationships/hyperlink" Target="https://doi.org/10.1161/STROKEAHA.123.045720" TargetMode="External"/><Relationship Id="rId19" Type="http://schemas.openxmlformats.org/officeDocument/2006/relationships/hyperlink" Target="https://doi.org/10.1002/ana.25438" TargetMode="External"/><Relationship Id="rId20" Type="http://schemas.openxmlformats.org/officeDocument/2006/relationships/hyperlink" Target="https://doi.org/10.1016/j.neuint.2022.105421" TargetMode="External"/><Relationship Id="rId21" Type="http://schemas.openxmlformats.org/officeDocument/2006/relationships/hyperlink" Target="https://doi.org/10.1007/s00415-011-6006-0" TargetMode="External"/><Relationship Id="rId22" Type="http://schemas.openxmlformats.org/officeDocument/2006/relationships/hyperlink" Target="https://doi.org/10.3988/jcn.2020.16.1.29" TargetMode="External"/><Relationship Id="rId23" Type="http://schemas.openxmlformats.org/officeDocument/2006/relationships/hyperlink" Target="https://doi.org/10.1186/s12974-024-03201-9" TargetMode="External"/><Relationship Id="rId24" Type="http://schemas.openxmlformats.org/officeDocument/2006/relationships/hyperlink" Target="https://doi.org/10.1111/ene.14683" TargetMode="External"/><Relationship Id="rId25" Type="http://schemas.openxmlformats.org/officeDocument/2006/relationships/hyperlink" Target="https://doi.org/10.1111/ene.15959" TargetMode="External"/><Relationship Id="rId26" Type="http://schemas.openxmlformats.org/officeDocument/2006/relationships/hyperlink" Target="https://doi.org/10.1177/0271678X221106956" TargetMode="External"/><Relationship Id="rId27" Type="http://schemas.openxmlformats.org/officeDocument/2006/relationships/hyperlink" Target="https://doi.org/10.1111/jth.12312" TargetMode="External"/><Relationship Id="rId28" Type="http://schemas.openxmlformats.org/officeDocument/2006/relationships/hyperlink" Target="https://doi.org/10.7150/ijms.110452" TargetMode="External"/><Relationship Id="rId29" Type="http://schemas.openxmlformats.org/officeDocument/2006/relationships/hyperlink" Target="https://doi.org/10.1186/1742-2094-11-74" TargetMode="External"/><Relationship Id="rId30" Type="http://schemas.openxmlformats.org/officeDocument/2006/relationships/hyperlink" Target="https://doi.org/10.18632/aging.204338" TargetMode="External"/><Relationship Id="rId31" Type="http://schemas.openxmlformats.org/officeDocument/2006/relationships/hyperlink" Target="https://doi.org/10.1161/STROKEAHA.110.612440" TargetMode="External"/><Relationship Id="rId32" Type="http://schemas.openxmlformats.org/officeDocument/2006/relationships/hyperlink" Target="https://doi.org/10.1161/CIRCRESAHA.120.316655" TargetMode="External"/><Relationship Id="rId33" Type="http://schemas.openxmlformats.org/officeDocument/2006/relationships/hyperlink" Target="https://doi.org/10.3390/ijms241210064" TargetMode="External"/><Relationship Id="rId34" Type="http://schemas.openxmlformats.org/officeDocument/2006/relationships/hyperlink" Target="https://doi.org/10.1021/acs.jproteome.4c00394" TargetMode="External"/><Relationship Id="rId35" Type="http://schemas.openxmlformats.org/officeDocument/2006/relationships/hyperlink" Target="https://doi.org/10.1136/jnis-2022-019937" TargetMode="External"/><Relationship Id="rId36" Type="http://schemas.openxmlformats.org/officeDocument/2006/relationships/hyperlink" Target="https://doi.org/10.17116/jnevro202412412220" TargetMode="External"/><Relationship Id="rId37" Type="http://schemas.openxmlformats.org/officeDocument/2006/relationships/hyperlink" Target="https://doi.org/10.1101/2025.08.10.25331295" TargetMode="External"/><Relationship Id="rId38" Type="http://schemas.openxmlformats.org/officeDocument/2006/relationships/hyperlink" Target="https://pmc.ncbi.nlm.nih.gov/articles/PMC13402305/" TargetMode="External"/><Relationship Id="rId39" Type="http://schemas.openxmlformats.org/officeDocument/2006/relationships/hyperlink" Target="https://doi.org/10.1038/s41598-022-23288-5" TargetMode="External"/><Relationship Id="rId40" Type="http://schemas.openxmlformats.org/officeDocument/2006/relationships/hyperlink" Target="https://doi.org/10.1161/JAHA.120.018984" TargetMode="External"/><Relationship Id="rId41" Type="http://schemas.openxmlformats.org/officeDocument/2006/relationships/hyperlink" Target="https://doi.org/10.1126/science.ade2574" TargetMode="External"/><Relationship Id="rId42" Type="http://schemas.openxmlformats.org/officeDocument/2006/relationships/hyperlink" Target="https://proceedings.mlr.press/v261/hermann24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StrokeProt AI Project Workflow and Model Guide</dc:title>
  <dc:subject>Beginner-friendly explanation of the evidence-curated dataset, frozen ESM-2 model, statistics, demo, and continuation prompt</dc:subject>
  <dc:creator>StrokeProt-AI project</dc:creator>
  <cp:keywords>StrokeProt-AI, protein sequence, ischemic stroke, ESM-2, dataset, workflow</cp:keywords>
  <dc:description>generated by python-docx</dc:description>
  <cp:lastModifiedBy/>
  <cp:revision>1</cp:revision>
  <dcterms:created xsi:type="dcterms:W3CDTF">2013-12-23T23:15:00Z</dcterms:created>
  <dcterms:modified xsi:type="dcterms:W3CDTF">2013-12-23T23:15:00Z</dcterms:modified>
  <cp:category/>
</cp:coreProperties>
</file>