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 AI-Powered Document Intelligence Platform</w:t>
      </w:r>
    </w:p>
    <w:p>
      <w:pPr>
        <w:pStyle w:val="Heading1"/>
      </w:pPr>
      <w:r>
        <w:t>1. Executive Summary</w:t>
      </w:r>
    </w:p>
    <w:p>
      <w:r>
        <w:t>This proposal outlines the development of an AI-powered document intelligence platform that automatically parses, classifies, and enables natural-language question answering over heterogeneous document collections, including scanned PDFs, handwritten forms, and structured reports. The platform will reduce manual document review time by an estimated 60% across pilot teams.</w:t>
      </w:r>
    </w:p>
    <w:p>
      <w:pPr>
        <w:pStyle w:val="Heading1"/>
      </w:pPr>
      <w:r>
        <w:t>2. Background</w:t>
      </w:r>
    </w:p>
    <w:p>
      <w:r>
        <w:t>Internal teams currently spend significant time manually searching through contracts, invoices, reports, and policy documents stored across shared drives. Existing keyword search tools do not understand document structure, cannot read scanned content, and provide no way to verify where an answer came from.</w:t>
      </w:r>
    </w:p>
    <w:p>
      <w:pPr>
        <w:pStyle w:val="Heading1"/>
      </w:pPr>
      <w:r>
        <w:t>3. Objectives</w:t>
      </w:r>
    </w:p>
    <w:p>
      <w:pPr>
        <w:pStyle w:val="ListBullet"/>
      </w:pPr>
      <w:r>
        <w:t>Automatically extract text, tables, and page images from any uploaded document.</w:t>
      </w:r>
    </w:p>
    <w:p>
      <w:pPr>
        <w:pStyle w:val="ListBullet"/>
      </w:pPr>
      <w:r>
        <w:t>Classify each document by type, topic, sensitivity, and content characteristics.</w:t>
      </w:r>
    </w:p>
    <w:p>
      <w:pPr>
        <w:pStyle w:val="ListBullet"/>
      </w:pPr>
      <w:r>
        <w:t>Provide a conversational interface that answers questions with page-level citations.</w:t>
      </w:r>
    </w:p>
    <w:p>
      <w:pPr>
        <w:pStyle w:val="ListBullet"/>
      </w:pPr>
      <w:r>
        <w:t>Support bulk ingestion with real-time per-document processing status.</w:t>
      </w:r>
    </w:p>
    <w:p>
      <w:pPr>
        <w:pStyle w:val="Heading1"/>
      </w:pPr>
      <w:r>
        <w:t>4. Scope</w:t>
      </w:r>
    </w:p>
    <w:p>
      <w:r>
        <w:t>The initial release covers PDF (including scanned and image-based), DOCX, and plain text formats. Out of scope for this phase: spreadsheets, presentation files, and email ingestion, which are planned for a future release.</w:t>
      </w:r>
    </w:p>
    <w:p>
      <w:pPr>
        <w:pStyle w:val="Heading1"/>
      </w:pPr>
      <w:r>
        <w:t>5.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Duration</w:t>
            </w:r>
          </w:p>
        </w:tc>
        <w:tc>
          <w:tcPr>
            <w:tcW w:type="dxa" w:w="2880"/>
          </w:tcPr>
          <w:p>
            <w:r>
              <w:t>Deliverable</w:t>
            </w:r>
          </w:p>
        </w:tc>
      </w:tr>
      <w:tr>
        <w:tc>
          <w:tcPr>
            <w:tcW w:type="dxa" w:w="2880"/>
          </w:tcPr>
          <w:p>
            <w:r>
              <w:t>Discovery &amp; Design</w:t>
            </w:r>
          </w:p>
        </w:tc>
        <w:tc>
          <w:tcPr>
            <w:tcW w:type="dxa" w:w="2880"/>
          </w:tcPr>
          <w:p>
            <w:r>
              <w:t>2 weeks</w:t>
            </w:r>
          </w:p>
        </w:tc>
        <w:tc>
          <w:tcPr>
            <w:tcW w:type="dxa" w:w="2880"/>
          </w:tcPr>
          <w:p>
            <w:r>
              <w:t>Architecture document, schema definitions</w:t>
            </w:r>
          </w:p>
        </w:tc>
      </w:tr>
      <w:tr>
        <w:tc>
          <w:tcPr>
            <w:tcW w:type="dxa" w:w="2880"/>
          </w:tcPr>
          <w:p>
            <w:r>
              <w:t>Core Parsing &amp; Classification</w:t>
            </w:r>
          </w:p>
        </w:tc>
        <w:tc>
          <w:tcPr>
            <w:tcW w:type="dxa" w:w="2880"/>
          </w:tcPr>
          <w:p>
            <w:r>
              <w:t>4 weeks</w:t>
            </w:r>
          </w:p>
        </w:tc>
        <w:tc>
          <w:tcPr>
            <w:tcW w:type="dxa" w:w="2880"/>
          </w:tcPr>
          <w:p>
            <w:r>
              <w:t>Parser service, classifier service</w:t>
            </w:r>
          </w:p>
        </w:tc>
      </w:tr>
      <w:tr>
        <w:tc>
          <w:tcPr>
            <w:tcW w:type="dxa" w:w="2880"/>
          </w:tcPr>
          <w:p>
            <w:r>
              <w:t>Agentic RAG &amp; Chat UI</w:t>
            </w:r>
          </w:p>
        </w:tc>
        <w:tc>
          <w:tcPr>
            <w:tcW w:type="dxa" w:w="2880"/>
          </w:tcPr>
          <w:p>
            <w:r>
              <w:t>3 weeks</w:t>
            </w:r>
          </w:p>
        </w:tc>
        <w:tc>
          <w:tcPr>
            <w:tcW w:type="dxa" w:w="2880"/>
          </w:tcPr>
          <w:p>
            <w:r>
              <w:t>Retrieval pipeline, chat interface with citations</w:t>
            </w:r>
          </w:p>
        </w:tc>
      </w:tr>
      <w:tr>
        <w:tc>
          <w:tcPr>
            <w:tcW w:type="dxa" w:w="2880"/>
          </w:tcPr>
          <w:p>
            <w:r>
              <w:t>Bulk Upload &amp; Hardening</w:t>
            </w:r>
          </w:p>
        </w:tc>
        <w:tc>
          <w:tcPr>
            <w:tcW w:type="dxa" w:w="2880"/>
          </w:tcPr>
          <w:p>
            <w:r>
              <w:t>2 weeks</w:t>
            </w:r>
          </w:p>
        </w:tc>
        <w:tc>
          <w:tcPr>
            <w:tcW w:type="dxa" w:w="2880"/>
          </w:tcPr>
          <w:p>
            <w:r>
              <w:t>Bulk upload UI, security review, deployment</w:t>
            </w:r>
          </w:p>
        </w:tc>
      </w:tr>
    </w:tbl>
    <w:p>
      <w:pPr>
        <w:pStyle w:val="Heading1"/>
      </w:pPr>
      <w:r>
        <w:t>6. Budget</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Estimated Cost (USD)</w:t>
            </w:r>
          </w:p>
        </w:tc>
      </w:tr>
      <w:tr>
        <w:tc>
          <w:tcPr>
            <w:tcW w:type="dxa" w:w="4320"/>
          </w:tcPr>
          <w:p>
            <w:r>
              <w:t>Engineering (3 FTE x 11 weeks)</w:t>
            </w:r>
          </w:p>
        </w:tc>
        <w:tc>
          <w:tcPr>
            <w:tcW w:type="dxa" w:w="4320"/>
          </w:tcPr>
          <w:p>
            <w:r>
              <w:t>$66,000</w:t>
            </w:r>
          </w:p>
        </w:tc>
      </w:tr>
      <w:tr>
        <w:tc>
          <w:tcPr>
            <w:tcW w:type="dxa" w:w="4320"/>
          </w:tcPr>
          <w:p>
            <w:r>
              <w:t>Cloud infrastructure (pilot)</w:t>
            </w:r>
          </w:p>
        </w:tc>
        <w:tc>
          <w:tcPr>
            <w:tcW w:type="dxa" w:w="4320"/>
          </w:tcPr>
          <w:p>
            <w:r>
              <w:t>$1,200</w:t>
            </w:r>
          </w:p>
        </w:tc>
      </w:tr>
      <w:tr>
        <w:tc>
          <w:tcPr>
            <w:tcW w:type="dxa" w:w="4320"/>
          </w:tcPr>
          <w:p>
            <w:r>
              <w:t>Third-party API usage (free tier)</w:t>
            </w:r>
          </w:p>
        </w:tc>
        <w:tc>
          <w:tcPr>
            <w:tcW w:type="dxa" w:w="4320"/>
          </w:tcPr>
          <w:p>
            <w:r>
              <w:t>$0</w:t>
            </w:r>
          </w:p>
        </w:tc>
      </w:tr>
      <w:tr>
        <w:tc>
          <w:tcPr>
            <w:tcW w:type="dxa" w:w="4320"/>
          </w:tcPr>
          <w:p>
            <w:r>
              <w:t>Contingency (10%)</w:t>
            </w:r>
          </w:p>
        </w:tc>
        <w:tc>
          <w:tcPr>
            <w:tcW w:type="dxa" w:w="4320"/>
          </w:tcPr>
          <w:p>
            <w:r>
              <w:t>$6,720</w:t>
            </w:r>
          </w:p>
        </w:tc>
      </w:tr>
    </w:tbl>
    <w:p>
      <w:pPr>
        <w:pStyle w:val="Heading1"/>
      </w:pPr>
      <w:r>
        <w:t>7. Risks</w:t>
      </w:r>
    </w:p>
    <w:p>
      <w:pPr>
        <w:pStyle w:val="ListBullet"/>
      </w:pPr>
      <w:r>
        <w:t>OCR accuracy may vary for low-quality scans or handwriting.</w:t>
      </w:r>
    </w:p>
    <w:p>
      <w:pPr>
        <w:pStyle w:val="ListBullet"/>
      </w:pPr>
      <w:r>
        <w:t>Free-tier LLM rate limits may require request batching under heavy load.</w:t>
      </w:r>
    </w:p>
    <w:p>
      <w:pPr>
        <w:pStyle w:val="ListBullet"/>
      </w:pPr>
      <w:r>
        <w:t>Sensitive documents require careful handling of storage permissions and access control.</w:t>
      </w:r>
    </w:p>
    <w:p>
      <w:pPr>
        <w:pStyle w:val="Heading1"/>
      </w:pPr>
      <w:r>
        <w:t>8. Conclusion</w:t>
      </w:r>
    </w:p>
    <w:p>
      <w:r>
        <w:t>This platform addresses a clear operational need with a modest budget and a phased delivery plan. Approval is requested to proceed with the Discovery &amp; Design phase by the start of next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