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review-report-i"/>
    <w:p>
      <w:pPr>
        <w:pStyle w:val="Heading1"/>
      </w:pPr>
      <w:r>
        <w:t xml:space="preserve">Review Report I</w:t>
      </w:r>
    </w:p>
    <w:bookmarkStart w:id="20" w:name="Xbecee62997c13178eceb984b25dd8252db48bfe"/>
    <w:p>
      <w:pPr>
        <w:pStyle w:val="Heading2"/>
      </w:pPr>
      <w:r>
        <w:t xml:space="preserve">Crypto-Agility Copilot: Dataflow-Aware Cryptographic Inventory and Prioritised Post-Quantum Migration</w:t>
      </w:r>
    </w:p>
    <w:p>
      <w:pPr>
        <w:pStyle w:val="FirstParagraph"/>
      </w:pPr>
      <w:r>
        <w:rPr>
          <w:bCs/>
          <w:b/>
        </w:rPr>
        <w:t xml:space="preserve">Innovative Design Project — Review 1 (Problem Identification and Proposed Methodology)</w:t>
      </w:r>
    </w:p>
    <w:p>
      <w:pPr>
        <w:pStyle w:val="BodyText"/>
      </w:pPr>
      <w:r>
        <w:rPr>
          <w:bCs/>
          <w:b/>
        </w:rPr>
        <w:t xml:space="preserve">Team size:</w:t>
      </w:r>
      <w:r>
        <w:t xml:space="preserve"> </w:t>
      </w:r>
      <w:r>
        <w:t xml:space="preserve">3 ·</w:t>
      </w:r>
      <w:r>
        <w:t xml:space="preserve"> </w:t>
      </w:r>
      <w:r>
        <w:rPr>
          <w:bCs/>
          <w:b/>
        </w:rPr>
        <w:t xml:space="preserve">Duration:</w:t>
      </w:r>
      <w:r>
        <w:t xml:space="preserve"> </w:t>
      </w:r>
      <w:r>
        <w:t xml:space="preserve">one academic year ·</w:t>
      </w:r>
      <w:r>
        <w:t xml:space="preserve"> </w:t>
      </w:r>
      <w:r>
        <w:rPr>
          <w:bCs/>
          <w:b/>
        </w:rPr>
        <w:t xml:space="preserve">Track:</w:t>
      </w:r>
      <w:r>
        <w:t xml:space="preserve"> </w:t>
      </w:r>
      <w:r>
        <w:t xml:space="preserve">software-only, no specialised hardware</w:t>
      </w:r>
    </w:p>
    <w:p>
      <w:r>
        <w:pict>
          <v:rect style="width:0;height:1.5pt" o:hralign="center" o:hrstd="t" o:hr="t"/>
        </w:pict>
      </w:r>
    </w:p>
    <w:bookmarkEnd w:id="20"/>
    <w:bookmarkStart w:id="23" w:name="X13db0f51be05c2c6adc8066b9331d82b8e7ca05"/>
    <w:p>
      <w:pPr>
        <w:pStyle w:val="Heading2"/>
      </w:pPr>
      <w:r>
        <w:t xml:space="preserve">1. Problem Identification</w:t>
      </w:r>
    </w:p>
    <w:bookmarkStart w:id="21" w:name="X48079db132189ab109bf3ff4ab7f748857af87d"/>
    <w:p>
      <w:pPr>
        <w:pStyle w:val="Heading3"/>
      </w:pPr>
      <w:r>
        <w:t xml:space="preserve">1.1 The technical problem</w:t>
      </w:r>
    </w:p>
    <w:p>
      <w:pPr>
        <w:pStyle w:val="FirstParagraph"/>
      </w:pPr>
      <w:r>
        <w:t xml:space="preserve">Every deployed software system depends on cryptography it cannot enumerate. A mid-sized banking</w:t>
      </w:r>
      <w:r>
        <w:t xml:space="preserve"> </w:t>
      </w:r>
      <w:r>
        <w:t xml:space="preserve">application will invoke RSA, ECDSA, AES and SHA-family primitives from a mixture of first-party code,</w:t>
      </w:r>
      <w:r>
        <w:t xml:space="preserve"> </w:t>
      </w:r>
      <w:r>
        <w:t xml:space="preserve">third-party libraries, container base images, TLS terminators, database configuration and</w:t>
      </w:r>
      <w:r>
        <w:t xml:space="preserve"> </w:t>
      </w:r>
      <w:r>
        <w:t xml:space="preserve">infrastructure-as-code — with no single artefact recording where those invocations are or what they</w:t>
      </w:r>
      <w:r>
        <w:t xml:space="preserve"> </w:t>
      </w:r>
      <w:r>
        <w:t xml:space="preserve">protect.</w:t>
      </w:r>
    </w:p>
    <w:p>
      <w:pPr>
        <w:pStyle w:val="BodyText"/>
      </w:pPr>
      <w:r>
        <w:t xml:space="preserve">Shor's algorithm renders RSA and elliptic-curve cryptography insecure against a cryptographically</w:t>
      </w:r>
      <w:r>
        <w:t xml:space="preserve"> </w:t>
      </w:r>
      <w:r>
        <w:t xml:space="preserve">relevant quantum computer (CRQC). NIST has standardised the replacements — ML-KEM (FIPS 203),</w:t>
      </w:r>
      <w:r>
        <w:t xml:space="preserve"> </w:t>
      </w:r>
      <w:r>
        <w:t xml:space="preserve">ML-DSA (FIPS 204) and SLH-DSA (FIPS 205) — so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to migrate to is settled. The unsolved problem is</w:t>
      </w:r>
      <w:r>
        <w:t xml:space="preserve"> </w:t>
      </w:r>
      <w:r>
        <w:t xml:space="preserve">industrial rather than cryptographic:</w:t>
      </w:r>
      <w:r>
        <w:t xml:space="preserve"> </w:t>
      </w:r>
      <w:r>
        <w:rPr>
          <w:bCs/>
          <w:b/>
        </w:rPr>
        <w:t xml:space="preserve">an organisation cannot migrate what it cannot locate, and cannot</w:t>
      </w:r>
      <w:r>
        <w:rPr>
          <w:bCs/>
          <w:b/>
        </w:rPr>
        <w:t xml:space="preserve"> </w:t>
      </w:r>
      <w:r>
        <w:rPr>
          <w:bCs/>
          <w:b/>
        </w:rPr>
        <w:t xml:space="preserve">sequence a multi-year migration without knowing which of its thousands of cryptographic call sites are</w:t>
      </w:r>
      <w:r>
        <w:rPr>
          <w:bCs/>
          <w:b/>
        </w:rPr>
        <w:t xml:space="preserve"> </w:t>
      </w:r>
      <w:r>
        <w:rPr>
          <w:bCs/>
          <w:b/>
        </w:rPr>
        <w:t xml:space="preserve">actually dangerous.</w:t>
      </w:r>
    </w:p>
    <w:p>
      <w:pPr>
        <w:pStyle w:val="BodyText"/>
      </w:pPr>
      <w:r>
        <w:t xml:space="preserve">This is sharpened by the</w:t>
      </w:r>
      <w:r>
        <w:t xml:space="preserve"> </w:t>
      </w:r>
      <w:r>
        <w:rPr>
          <w:iCs/>
          <w:i/>
        </w:rPr>
        <w:t xml:space="preserve">harvest-now-decrypt-later</w:t>
      </w:r>
      <w:r>
        <w:t xml:space="preserve"> </w:t>
      </w:r>
      <w:r>
        <w:t xml:space="preserve">(HNDL) threat model. An adversary records</w:t>
      </w:r>
      <w:r>
        <w:t xml:space="preserve"> </w:t>
      </w:r>
      <w:r>
        <w:t xml:space="preserve">ciphertext today and decrypts it once a CRQC exists. Mosca's inequality formalises the deadline: if</w:t>
      </w:r>
      <w:r>
        <w:t xml:space="preserve"> </w:t>
      </w:r>
      <w:r>
        <w:rPr>
          <w:iCs/>
          <w:i/>
        </w:rPr>
        <w:t xml:space="preserve">x</w:t>
      </w:r>
      <w:r>
        <w:t xml:space="preserve"> </w:t>
      </w:r>
      <w:r>
        <w:t xml:space="preserve">is the number of years data must remain confidential,</w:t>
      </w:r>
      <w:r>
        <w:t xml:space="preserve"> </w:t>
      </w:r>
      <w:r>
        <w:rPr>
          <w:iCs/>
          <w:i/>
        </w:rPr>
        <w:t xml:space="preserve">y</w:t>
      </w:r>
      <w:r>
        <w:t xml:space="preserve"> </w:t>
      </w:r>
      <w:r>
        <w:t xml:space="preserve">the years required to complete migration,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z</w:t>
      </w:r>
      <w:r>
        <w:t xml:space="preserve"> </w:t>
      </w:r>
      <w:r>
        <w:t xml:space="preserve">the years until a CRQC exists, then</w:t>
      </w:r>
      <w:r>
        <w:t xml:space="preserve"> </w:t>
      </w:r>
      <w:r>
        <w:rPr>
          <w:bCs/>
          <w:b/>
        </w:rPr>
        <w:t xml:space="preserve">x + y &gt; z</w:t>
      </w:r>
      <w:r>
        <w:t xml:space="preserve"> </w:t>
      </w:r>
      <w:r>
        <w:t xml:space="preserve">means the organisation is already too late.</w:t>
      </w:r>
      <w:r>
        <w:t xml:space="preserve"> </w:t>
      </w:r>
      <w:r>
        <w:t xml:space="preserve">For sectors with 25–50 year retention obligations — health records, life insurance, legal archives,</w:t>
      </w:r>
      <w:r>
        <w:t xml:space="preserve"> </w:t>
      </w:r>
      <w:r>
        <w:t xml:space="preserve">genomic data — that inequality is already violated [P8]. Critically, HNDL exposure is a property of</w:t>
      </w:r>
      <w:r>
        <w:t xml:space="preserve"> </w:t>
      </w:r>
      <w:r>
        <w:rPr>
          <w:iCs/>
          <w:i/>
        </w:rPr>
        <w:t xml:space="preserve">the data</w:t>
      </w:r>
      <w:r>
        <w:t xml:space="preserve">, not of the algorithm: two identical</w:t>
      </w:r>
      <w:r>
        <w:t xml:space="preserve"> </w:t>
      </w:r>
      <w:r>
        <w:rPr>
          <w:rStyle w:val="VerbatimChar"/>
        </w:rPr>
        <w:t xml:space="preserve">RSA.encrypt()</w:t>
      </w:r>
      <w:r>
        <w:t xml:space="preserve"> </w:t>
      </w:r>
      <w:r>
        <w:t xml:space="preserve">calls, one wrapping a 30-year medical</w:t>
      </w:r>
      <w:r>
        <w:t xml:space="preserve"> </w:t>
      </w:r>
      <w:r>
        <w:t xml:space="preserve">record for offsite archival and one wrapping a 90-second session token, carry radically different risk.</w:t>
      </w:r>
      <w:r>
        <w:t xml:space="preserve"> </w:t>
      </w:r>
      <w:r>
        <w:t xml:space="preserve">No current tool distinguishes them.</w:t>
      </w:r>
    </w:p>
    <w:bookmarkEnd w:id="21"/>
    <w:bookmarkStart w:id="22" w:name="Xa44b3615f6dea3f4db4ebf1c01ae5a114e6e694"/>
    <w:p>
      <w:pPr>
        <w:pStyle w:val="Heading3"/>
      </w:pPr>
      <w:r>
        <w:t xml:space="preserve">1.2 The specific gap in the state of the art</w:t>
      </w:r>
    </w:p>
    <w:p>
      <w:pPr>
        <w:pStyle w:val="FirstParagraph"/>
      </w:pPr>
      <w:r>
        <w:t xml:space="preserve">Cryptographic discovery tooling has matured rapidly (CBOMkit, IBM Quantum Safe Explorer, SandboxAQ</w:t>
      </w:r>
      <w:r>
        <w:t xml:space="preserve"> </w:t>
      </w:r>
      <w:r>
        <w:t xml:space="preserve">AQtive Guard, and the recent academic scanner Crypsy [P1]), and the Cryptography Bill of Materials</w:t>
      </w:r>
      <w:r>
        <w:t xml:space="preserve"> </w:t>
      </w:r>
      <w:r>
        <w:t xml:space="preserve">(CBOM) has been standardised as a CycloneDX 1.6 extension [P6]. The output of all of these is</w:t>
      </w:r>
      <w:r>
        <w:t xml:space="preserve"> </w:t>
      </w:r>
      <w:r>
        <w:rPr>
          <w:bCs/>
          <w:b/>
        </w:rPr>
        <w:t xml:space="preserve">semantically flat</w:t>
      </w:r>
      <w:r>
        <w:t xml:space="preserve">: a list of the form</w:t>
      </w:r>
      <w:r>
        <w:t xml:space="preserve"> </w:t>
      </w:r>
      <w:r>
        <w:rPr>
          <w:iCs/>
          <w:i/>
        </w:rPr>
        <w:t xml:space="preserve">"RSA-2048 appears at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payments/crypto.py:214</w:t>
      </w:r>
      <w:r>
        <w:rPr>
          <w:iCs/>
          <w:i/>
        </w:rPr>
        <w:t xml:space="preserve">"</w:t>
      </w:r>
      <w:r>
        <w:t xml:space="preserve">.</w:t>
      </w:r>
    </w:p>
    <w:p>
      <w:pPr>
        <w:pStyle w:val="BodyText"/>
      </w:pPr>
      <w:r>
        <w:t xml:space="preserve">Two measured consequences follow, both documented in the 2026 literature: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Findings are not actionable.</w:t>
      </w:r>
      <w:r>
        <w:t xml:space="preserve"> </w:t>
      </w:r>
      <w:r>
        <w:t xml:space="preserve">Näther and Hirsch report that on real deployed services their</w:t>
      </w:r>
      <w:r>
        <w:t xml:space="preserve"> </w:t>
      </w:r>
      <w:r>
        <w:t xml:space="preserve">assessment rules fire "on all matching invocations regardless of usage context," giving a</w:t>
      </w:r>
      <w:r>
        <w:t xml:space="preserve"> </w:t>
      </w:r>
      <w:r>
        <w:t xml:space="preserve">real-world actionable-weakness precision of "roughly 0.3" [P1]. Two out of three flagged findings</w:t>
      </w:r>
      <w:r>
        <w:t xml:space="preserve"> </w:t>
      </w:r>
      <w:r>
        <w:t xml:space="preserve">are noise — typically non-security hashing (cache keys, ETags, checksums) matched by the same rule</w:t>
      </w:r>
      <w:r>
        <w:t xml:space="preserve"> </w:t>
      </w:r>
      <w:r>
        <w:t xml:space="preserve">as password hashing.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Findings are not ordered.</w:t>
      </w:r>
      <w:r>
        <w:t xml:space="preserve"> </w:t>
      </w:r>
      <w:r>
        <w:t xml:space="preserve">Where risk scoring exists, it is</w:t>
      </w:r>
      <w:r>
        <w:t xml:space="preserve"> </w:t>
      </w:r>
      <w:r>
        <w:rPr>
          <w:iCs/>
          <w:i/>
        </w:rPr>
        <w:t xml:space="preserve">algorithm-intrinsic</w:t>
      </w:r>
      <w:r>
        <w:t xml:space="preserve">. Shaw's</w:t>
      </w:r>
      <w:r>
        <w:t xml:space="preserve"> </w:t>
      </w:r>
      <w:r>
        <w:t xml:space="preserve">quantum-aware scorer derives a 0–10 severity from key size, Shor-path qubit cost, Grover speedup</w:t>
      </w:r>
      <w:r>
        <w:t xml:space="preserve"> </w:t>
      </w:r>
      <w:r>
        <w:t xml:space="preserve">factor and forward-security exposure [P2] — all properties of the primitive, none of the protected</w:t>
      </w:r>
      <w:r>
        <w:t xml:space="preserve"> </w:t>
      </w:r>
      <w:r>
        <w:t xml:space="preserve">data. Every RSA-2048 call site in a codebase therefore receives an identical score, which is exactly</w:t>
      </w:r>
      <w:r>
        <w:t xml:space="preserve"> </w:t>
      </w:r>
      <w:r>
        <w:t xml:space="preserve">the case in which prioritisation is needed and exactly the case in which this class of score</w:t>
      </w:r>
      <w:r>
        <w:t xml:space="preserve"> </w:t>
      </w:r>
      <w:r>
        <w:t xml:space="preserve">provides no signal.</w:t>
      </w:r>
    </w:p>
    <w:p>
      <w:pPr>
        <w:pStyle w:val="FirstParagraph"/>
      </w:pPr>
      <w:r>
        <w:rPr>
          <w:bCs/>
          <w:b/>
        </w:rPr>
        <w:t xml:space="preserve">Problem statement.</w:t>
      </w:r>
      <w:r>
        <w:t xml:space="preserve"> </w:t>
      </w:r>
      <w:r>
        <w:rPr>
          <w:iCs/>
          <w:i/>
        </w:rPr>
        <w:t xml:space="preserve">Given a source repository, no existing technique binds each cryptographic</w:t>
      </w:r>
      <w:r>
        <w:rPr>
          <w:iCs/>
          <w:i/>
        </w:rPr>
        <w:t xml:space="preserve"> </w:t>
      </w:r>
      <w:r>
        <w:rPr>
          <w:iCs/>
          <w:i/>
        </w:rPr>
        <w:t xml:space="preserve">operation to the data it protects, that data's confidentiality lifetime, and its exposure surface, and</w:t>
      </w:r>
      <w:r>
        <w:rPr>
          <w:iCs/>
          <w:i/>
        </w:rPr>
        <w:t xml:space="preserve"> </w:t>
      </w:r>
      <w:r>
        <w:rPr>
          <w:iCs/>
          <w:i/>
        </w:rPr>
        <w:t xml:space="preserve">therefore no existing technique can produce a defensible migration order or suppress</w:t>
      </w:r>
      <w:r>
        <w:rPr>
          <w:iCs/>
          <w:i/>
        </w:rPr>
        <w:t xml:space="preserve"> </w:t>
      </w:r>
      <w:r>
        <w:rPr>
          <w:iCs/>
          <w:i/>
        </w:rPr>
        <w:t xml:space="preserve">context-irrelevant findings. Post-quantum migration tooling reports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what</w:t>
      </w:r>
      <w:r>
        <w:rPr>
          <w:iCs/>
          <w:i/>
        </w:rPr>
        <w:t xml:space="preserve"> </w:t>
      </w:r>
      <w:r>
        <w:rPr>
          <w:iCs/>
          <w:i/>
        </w:rPr>
        <w:t xml:space="preserve">cryptography exists; the</w:t>
      </w:r>
      <w:r>
        <w:rPr>
          <w:iCs/>
          <w:i/>
        </w:rPr>
        <w:t xml:space="preserve"> </w:t>
      </w:r>
      <w:r>
        <w:rPr>
          <w:iCs/>
          <w:i/>
        </w:rPr>
        <w:t xml:space="preserve">operational question is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what to migrate first</w:t>
      </w:r>
      <w:r>
        <w:rPr>
          <w:iCs/>
          <w:i/>
        </w:rPr>
        <w:t xml:space="preserve">, and it is unanswered.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4680d8229330acf41d7956c750a49c2a51d3a53"/>
    <w:p>
      <w:pPr>
        <w:pStyle w:val="Heading2"/>
      </w:pPr>
      <w:r>
        <w:t xml:space="preserve">2. Justification</w:t>
      </w:r>
    </w:p>
    <w:p>
      <w:pPr>
        <w:pStyle w:val="FirstParagraph"/>
      </w:pPr>
      <w:r>
        <w:rPr>
          <w:bCs/>
          <w:b/>
        </w:rPr>
        <w:t xml:space="preserve">2.1 The requirement is mandated and dated, not speculative.</w:t>
      </w:r>
      <w:r>
        <w:t xml:space="preserve"> </w:t>
      </w:r>
      <w:r>
        <w:t xml:space="preserve">India's national quantum-safe task</w:t>
      </w:r>
      <w:r>
        <w:t xml:space="preserve"> </w:t>
      </w:r>
      <w:r>
        <w:t xml:space="preserve">force has set a</w:t>
      </w:r>
      <w:r>
        <w:t xml:space="preserve"> </w:t>
      </w:r>
      <w:r>
        <w:rPr>
          <w:bCs/>
          <w:b/>
        </w:rPr>
        <w:t xml:space="preserve">2027–2029 migration deadline for critical information infrastructure</w:t>
      </w:r>
      <w:r>
        <w:t xml:space="preserve">. The Reserve</w:t>
      </w:r>
      <w:r>
        <w:t xml:space="preserve"> </w:t>
      </w:r>
      <w:r>
        <w:t xml:space="preserve">Bank of India has constituted the</w:t>
      </w:r>
      <w:r>
        <w:t xml:space="preserve"> </w:t>
      </w:r>
      <w:r>
        <w:rPr>
          <w:bCs/>
          <w:b/>
        </w:rPr>
        <w:t xml:space="preserve">Q-SAFE committee</w:t>
      </w:r>
      <w:r>
        <w:t xml:space="preserve"> </w:t>
      </w:r>
      <w:r>
        <w:t xml:space="preserve">(chaired from IIT Madras) whose remit explicitly</w:t>
      </w:r>
      <w:r>
        <w:t xml:space="preserve"> </w:t>
      </w:r>
      <w:r>
        <w:t xml:space="preserve">includes construction of a cryptographic inventory and assessment of crypto-agility. SEBI's Cyber</w:t>
      </w:r>
      <w:r>
        <w:t xml:space="preserve"> </w:t>
      </w:r>
      <w:r>
        <w:t xml:space="preserve">Security and Cyber Resilience Framework names harvest-now-decrypt-later directly. Internationally, US</w:t>
      </w:r>
      <w:r>
        <w:t xml:space="preserve"> </w:t>
      </w:r>
      <w:r>
        <w:t xml:space="preserve">Executive Order 14412 (June 2026) directs CISA and NIST to publish minimum elements for a CBOM within</w:t>
      </w:r>
      <w:r>
        <w:t xml:space="preserve"> </w:t>
      </w:r>
      <w:r>
        <w:t xml:space="preserve">270 days. The project therefore targets a compliance artefact with a legal deadline, and its value does</w:t>
      </w:r>
      <w:r>
        <w:t xml:space="preserve"> </w:t>
      </w:r>
      <w:r>
        <w:t xml:space="preserve">not depend on any prediction about when quantum computers arrive.</w:t>
      </w:r>
    </w:p>
    <w:p>
      <w:pPr>
        <w:pStyle w:val="BodyText"/>
      </w:pPr>
      <w:r>
        <w:rPr>
          <w:bCs/>
          <w:b/>
        </w:rPr>
        <w:t xml:space="preserve">2.2 The gap between intent and execution is enormous.</w:t>
      </w:r>
      <w:r>
        <w:t xml:space="preserve"> </w:t>
      </w:r>
      <w:r>
        <w:t xml:space="preserve">A DigiCert survey (July 2026) found 87% of</w:t>
      </w:r>
      <w:r>
        <w:t xml:space="preserve"> </w:t>
      </w:r>
      <w:r>
        <w:t xml:space="preserve">organisations planning or piloting PQC but only</w:t>
      </w:r>
      <w:r>
        <w:t xml:space="preserve"> </w:t>
      </w:r>
      <w:r>
        <w:rPr>
          <w:bCs/>
          <w:b/>
        </w:rPr>
        <w:t xml:space="preserve">7%</w:t>
      </w:r>
      <w:r>
        <w:t xml:space="preserve"> </w:t>
      </w:r>
      <w:r>
        <w:t xml:space="preserve">having deployed quantum-safe cryptography across</w:t>
      </w:r>
      <w:r>
        <w:t xml:space="preserve"> </w:t>
      </w:r>
      <w:r>
        <w:t xml:space="preserve">most of their certificate estate. The bottleneck is not willingness; it is that no tool converts an</w:t>
      </w:r>
      <w:r>
        <w:t xml:space="preserve"> </w:t>
      </w:r>
      <w:r>
        <w:t xml:space="preserve">inventory into a plan.</w:t>
      </w:r>
    </w:p>
    <w:p>
      <w:pPr>
        <w:pStyle w:val="BodyText"/>
      </w:pPr>
      <w:r>
        <w:rPr>
          <w:bCs/>
          <w:b/>
        </w:rPr>
        <w:t xml:space="preserve">2.3 The gap is named by the literature itself as future work.</w:t>
      </w:r>
      <w:r>
        <w:t xml:space="preserve"> </w:t>
      </w:r>
      <w:r>
        <w:t xml:space="preserve">The primary academic scanner states</w:t>
      </w:r>
      <w:r>
        <w:t xml:space="preserve"> </w:t>
      </w:r>
      <w:r>
        <w:t xml:space="preserve">that context-insensitive rules "requir[e] manual triage to distinguish actionable from non-actionable</w:t>
      </w:r>
      <w:r>
        <w:t xml:space="preserve"> </w:t>
      </w:r>
      <w:r>
        <w:t xml:space="preserve">findings" [P1]. Zhang's ICSE'26 vision paper defines the missing agenda as exactly three pillars —</w:t>
      </w:r>
      <w:r>
        <w:t xml:space="preserve"> </w:t>
      </w:r>
      <w:r>
        <w:t xml:space="preserve">"PQC-aware detection, semantic refactoring, and hybrid verification" — and provides no implementation</w:t>
      </w:r>
      <w:r>
        <w:t xml:space="preserve"> </w:t>
      </w:r>
      <w:r>
        <w:t xml:space="preserve">[P4]. The CARS readiness framework scores an</w:t>
      </w:r>
      <w:r>
        <w:t xml:space="preserve"> </w:t>
      </w:r>
      <w:r>
        <w:rPr>
          <w:iCs/>
          <w:i/>
        </w:rPr>
        <w:t xml:space="preserve">organisation</w:t>
      </w:r>
      <w:r>
        <w:t xml:space="preserve"> </w:t>
      </w:r>
      <w:r>
        <w:t xml:space="preserve">on five dimensions but concedes that</w:t>
      </w:r>
      <w:r>
        <w:t xml:space="preserve"> </w:t>
      </w:r>
      <w:r>
        <w:t xml:space="preserve">"external predictive validation against migration outcomes remains future work" [P5]. We are therefore</w:t>
      </w:r>
      <w:r>
        <w:t xml:space="preserve"> </w:t>
      </w:r>
      <w:r>
        <w:t xml:space="preserve">building the component that three independent 2026 papers identify as absent.</w:t>
      </w:r>
    </w:p>
    <w:p>
      <w:pPr>
        <w:pStyle w:val="BodyText"/>
      </w:pPr>
      <w:r>
        <w:rPr>
          <w:bCs/>
          <w:b/>
        </w:rPr>
        <w:t xml:space="preserve">2.4 It is buildable by three students in one year.</w:t>
      </w:r>
      <w:r>
        <w:t xml:space="preserve"> </w:t>
      </w:r>
      <w:r>
        <w:t xml:space="preserve">Pure software; no dataset to collect; no GPU; no</w:t>
      </w:r>
      <w:r>
        <w:t xml:space="preserve"> </w:t>
      </w:r>
      <w:r>
        <w:t xml:space="preserve">quantum hardware. Mature reusable infrastructure exists (tree-sitter, Semgrep, CodeQL, liboqs,</w:t>
      </w:r>
      <w:r>
        <w:t xml:space="preserve"> </w:t>
      </w:r>
      <w:r>
        <w:t xml:space="preserve">CycloneDX 1.6). The evaluation targets are already-published numbers we can be measured against.</w:t>
      </w:r>
    </w:p>
    <w:p>
      <w:pPr>
        <w:pStyle w:val="BodyText"/>
      </w:pPr>
      <w:r>
        <w:rPr>
          <w:bCs/>
          <w:b/>
        </w:rPr>
        <w:t xml:space="preserve">2.5 There is a defensible intellectual property position.</w:t>
      </w:r>
      <w:r>
        <w:t xml:space="preserve"> </w:t>
      </w:r>
      <w:r>
        <w:t xml:space="preserve">Under the Indian Patent Office's CRI</w:t>
      </w:r>
      <w:r>
        <w:t xml:space="preserve"> </w:t>
      </w:r>
      <w:r>
        <w:t xml:space="preserve">Guidelines (2025), eligibility turns on demonstrable</w:t>
      </w:r>
      <w:r>
        <w:t xml:space="preserve"> </w:t>
      </w:r>
      <w:r>
        <w:rPr>
          <w:iCs/>
          <w:i/>
        </w:rPr>
        <w:t xml:space="preserve">technical effect</w:t>
      </w:r>
      <w:r>
        <w:t xml:space="preserve"> </w:t>
      </w:r>
      <w:r>
        <w:t xml:space="preserve">rather than novel hardware.</w:t>
      </w:r>
      <w:r>
        <w:t xml:space="preserve"> </w:t>
      </w:r>
      <w:r>
        <w:t xml:space="preserve">Ordering remediation by dataflow-derived data lifetime and exposure surface produces a measurable</w:t>
      </w:r>
      <w:r>
        <w:t xml:space="preserve"> </w:t>
      </w:r>
      <w:r>
        <w:t xml:space="preserve">technical effect (reduction in residual HNDL exposure per unit of engineering effort). Our prior-art</w:t>
      </w:r>
      <w:r>
        <w:t xml:space="preserve"> </w:t>
      </w:r>
      <w:r>
        <w:t xml:space="preserve">search found no claim on this combination.</w:t>
      </w:r>
    </w:p>
    <w:p>
      <w:r>
        <w:pict>
          <v:rect style="width:0;height:1.5pt" o:hralign="center" o:hrstd="t" o:hr="t"/>
        </w:pict>
      </w:r>
    </w:p>
    <w:bookmarkEnd w:id="24"/>
    <w:bookmarkStart w:id="25" w:name="X75c7fc3ae3409a2dc800748cd65d00ae33b40c8"/>
    <w:p>
      <w:pPr>
        <w:pStyle w:val="Heading2"/>
      </w:pPr>
      <w:r>
        <w:t xml:space="preserve">3. Objectives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p>
            <w:pPr>
              <w:pStyle w:val="Compact"/>
              <w:jc w:val="left"/>
            </w:pPr>
            <w:r>
              <w:t xml:space="preserve">Success criterion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O1</w:t>
            </w:r>
          </w:p>
        </w:tc>
        <w:tc>
          <w:p>
            <w:pPr>
              <w:pStyle w:val="Compact"/>
              <w:jc w:val="left"/>
            </w:pPr>
            <w:r>
              <w:t xml:space="preserve">Build a multi-language cryptographic discovery layer emitting CycloneDX 1.6 CBOM.</w:t>
            </w:r>
          </w:p>
        </w:tc>
        <w:tc>
          <w:p>
            <w:pPr>
              <w:pStyle w:val="Compact"/>
              <w:jc w:val="left"/>
            </w:pPr>
            <w:r>
              <w:t xml:space="preserve">Discovery F1 ≥ 0.85 on our benchmark, versus Crypsy's reported overall 0.75 and CBOMkit's 0.66 on the Go subset [P1].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O2</w:t>
            </w:r>
          </w:p>
        </w:tc>
        <w:tc>
          <w:p>
            <w:pPr>
              <w:pStyle w:val="Compact"/>
              <w:jc w:val="left"/>
            </w:pPr>
            <w:r>
              <w:t xml:space="preserve">Implement inter-procedural dataflow binding: each crypto call site → the data it protects → that data's retention evidence → its exposure surface.</w:t>
            </w:r>
          </w:p>
        </w:tc>
        <w:tc>
          <w:p>
            <w:pPr>
              <w:pStyle w:val="Compact"/>
              <w:jc w:val="left"/>
            </w:pPr>
            <w:r>
              <w:t xml:space="preserve">Successful binding for ≥ 70% of discovered call sites in Python and Java; retention evidence recovered automatically for ≥ 50%.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O3</w:t>
            </w:r>
          </w:p>
        </w:tc>
        <w:tc>
          <w:p>
            <w:pPr>
              <w:pStyle w:val="Compact"/>
              <w:jc w:val="left"/>
            </w:pPr>
            <w:r>
              <w:t xml:space="preserve">Define and compute an</w:t>
            </w:r>
            <w:r>
              <w:t xml:space="preserve"> </w:t>
            </w:r>
            <w:r>
              <w:rPr>
                <w:bCs/>
                <w:b/>
              </w:rPr>
              <w:t xml:space="preserve">HNDL Exposure Score</w:t>
            </w:r>
            <w:r>
              <w:t xml:space="preserve"> </w:t>
            </w:r>
            <w:r>
              <w:t xml:space="preserve">per data path, operationalising Mosca's inequality at call-site granularity.</w:t>
            </w:r>
          </w:p>
        </w:tc>
        <w:tc>
          <w:p>
            <w:pPr>
              <w:pStyle w:val="Compact"/>
              <w:jc w:val="left"/>
            </w:pPr>
            <w:r>
              <w:t xml:space="preserve">Ranking quality nDCG@20 ≥ 0.80 and Kendall-τ ≥ 0.6 against an expert-labelled priority order on held-out repositories.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O4</w:t>
            </w:r>
          </w:p>
        </w:tc>
        <w:tc>
          <w:p>
            <w:pPr>
              <w:pStyle w:val="Compact"/>
              <w:jc w:val="left"/>
            </w:pPr>
            <w:r>
              <w:t xml:space="preserve">Suppress context-irrelevant findings using dataflow context.</w:t>
            </w:r>
          </w:p>
        </w:tc>
        <w:tc>
          <w:p>
            <w:pPr>
              <w:pStyle w:val="Compact"/>
              <w:jc w:val="left"/>
            </w:pPr>
            <w:r>
              <w:t xml:space="preserve">Actionable-finding precision raised from the reported ≈ 0.30 [P1] to ≥ 0.70, at recall loss ≤ 5 points.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O5</w:t>
            </w:r>
          </w:p>
        </w:tc>
        <w:tc>
          <w:p>
            <w:pPr>
              <w:pStyle w:val="Compact"/>
              <w:jc w:val="left"/>
            </w:pPr>
            <w:r>
              <w:t xml:space="preserve">Synthesise hybrid post-quantum patches (X25519 + ML-KEM) verified by differential testing before proposal.</w:t>
            </w:r>
          </w:p>
        </w:tc>
        <w:tc>
          <w:p>
            <w:pPr>
              <w:pStyle w:val="Compact"/>
              <w:jc w:val="left"/>
            </w:pPr>
            <w:r>
              <w:t xml:space="preserve">≥ 80% of proposed patches pass differential equivalence and the project's own test suite, on</w:t>
            </w:r>
            <w:r>
              <w:t xml:space="preserve"> </w:t>
            </w:r>
            <w:r>
              <w:rPr>
                <w:iCs/>
                <w:i/>
              </w:rPr>
              <w:t xml:space="preserve">real multi-file repositories</w:t>
            </w:r>
            <w:r>
              <w:t xml:space="preserve"> </w:t>
            </w:r>
            <w:r>
              <w:t xml:space="preserve">(where prior LLM migration work degrades from its 92.5% synthetic-single-fragment rate [P3]).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O6</w:t>
            </w:r>
          </w:p>
        </w:tc>
        <w:tc>
          <w:p>
            <w:pPr>
              <w:pStyle w:val="Compact"/>
              <w:jc w:val="left"/>
            </w:pPr>
            <w:r>
              <w:t xml:space="preserve">Release the tool (CLI + CI action) and a public retention-annotated benchmark.</w:t>
            </w:r>
          </w:p>
        </w:tc>
        <w:tc>
          <w:p>
            <w:pPr>
              <w:pStyle w:val="Compact"/>
              <w:jc w:val="left"/>
            </w:pPr>
            <w:r>
              <w:t xml:space="preserve">Public repository; CycloneDX 1.6 schema conformance; benchmark of ≥ 15 real repositories with expert priority labels.</w:t>
            </w:r>
          </w:p>
        </w:tc>
      </w:tr>
    </w:tbl>
    <w:p>
      <w:pPr>
        <w:pStyle w:val="BodyText"/>
      </w:pPr>
      <w:r>
        <w:rPr>
          <w:bCs/>
          <w:b/>
        </w:rPr>
        <w:t xml:space="preserve">Secondary objective (O7).</w:t>
      </w:r>
      <w:r>
        <w:t xml:space="preserve"> </w:t>
      </w:r>
      <w:r>
        <w:t xml:space="preserve">Publish the prioritisation-evaluation protocol itself. No existing paper</w:t>
      </w:r>
      <w:r>
        <w:t xml:space="preserve"> </w:t>
      </w:r>
      <w:r>
        <w:t xml:space="preserve">in this area reports a</w:t>
      </w:r>
      <w:r>
        <w:t xml:space="preserve"> </w:t>
      </w:r>
      <w:r>
        <w:rPr>
          <w:iCs/>
          <w:i/>
        </w:rPr>
        <w:t xml:space="preserve">ranking</w:t>
      </w:r>
      <w:r>
        <w:t xml:space="preserve"> </w:t>
      </w:r>
      <w:r>
        <w:t xml:space="preserve">metric; introducing nDCG/Kendall-τ against expert order as the</w:t>
      </w:r>
      <w:r>
        <w:t xml:space="preserve"> </w:t>
      </w:r>
      <w:r>
        <w:t xml:space="preserve">standard measure for migration tooling is a methodological contribution independent of our tool's</w:t>
      </w:r>
      <w:r>
        <w:t xml:space="preserve"> </w:t>
      </w:r>
      <w:r>
        <w:t xml:space="preserve">score.</w:t>
      </w:r>
    </w:p>
    <w:p>
      <w:r>
        <w:pict>
          <v:rect style="width:0;height:1.5pt" o:hralign="center" o:hrstd="t" o:hr="t"/>
        </w:pict>
      </w:r>
    </w:p>
    <w:bookmarkEnd w:id="25"/>
    <w:bookmarkStart w:id="29" w:name="X6613e4245a75e88013480f423ae1cd188d10e18"/>
    <w:p>
      <w:pPr>
        <w:pStyle w:val="Heading2"/>
      </w:pPr>
      <w:r>
        <w:t xml:space="preserve">4. Scope</w:t>
      </w:r>
    </w:p>
    <w:bookmarkStart w:id="26" w:name="X88eb70fa65c0df7b6ed2e0dafb8314434f12b8a"/>
    <w:p>
      <w:pPr>
        <w:pStyle w:val="Heading3"/>
      </w:pPr>
      <w:r>
        <w:t xml:space="preserve">4.1 In scope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Languages:</w:t>
      </w:r>
      <w:r>
        <w:t xml:space="preserve"> </w:t>
      </w:r>
      <w:r>
        <w:t xml:space="preserve">Python and Java as primary targets (chosen deliberately — Näther and Hirsch state</w:t>
      </w:r>
      <w:r>
        <w:t xml:space="preserve"> </w:t>
      </w:r>
      <w:r>
        <w:t xml:space="preserve">that "ecosystems that hold much enterprise cryptography, such as Java, C/C++, and Python, are not yet</w:t>
      </w:r>
      <w:r>
        <w:t xml:space="preserve"> </w:t>
      </w:r>
      <w:r>
        <w:t xml:space="preserve">demonstrated" [P1]); Go as a stretch target for direct comparison against published numbers.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Cryptography classes:</w:t>
      </w:r>
      <w:r>
        <w:t xml:space="preserve"> </w:t>
      </w:r>
      <w:r>
        <w:t xml:space="preserve">transport (TLS configuration), data-at-rest (envelope encryption, disk/DB</w:t>
      </w:r>
      <w:r>
        <w:t xml:space="preserve"> </w:t>
      </w:r>
      <w:r>
        <w:t xml:space="preserve">encryption configuration), and application-layer cryptography (JWT signing, password hashing, token</w:t>
      </w:r>
      <w:r>
        <w:t xml:space="preserve"> </w:t>
      </w:r>
      <w:r>
        <w:t xml:space="preserve">encryption, custom protocol code).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Analysis level:</w:t>
      </w:r>
      <w:r>
        <w:t xml:space="preserve"> </w:t>
      </w:r>
      <w:r>
        <w:t xml:space="preserve">source code plus adjacent declarative configuration — ORM models, database</w:t>
      </w:r>
      <w:r>
        <w:t xml:space="preserve"> </w:t>
      </w:r>
      <w:r>
        <w:t xml:space="preserve">migrations, IaC (Terraform/Helm), object-store lifecycle policies, log-retention configuration. These</w:t>
      </w:r>
      <w:r>
        <w:t xml:space="preserve"> </w:t>
      </w:r>
      <w:r>
        <w:t xml:space="preserve">are the machine-readable evidence of retention.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Outputs:</w:t>
      </w:r>
      <w:r>
        <w:t xml:space="preserve"> </w:t>
      </w:r>
      <w:r>
        <w:t xml:space="preserve">CycloneDX 1.6 CBOM enriched with dataflow and retention annotations; a ranked migration</w:t>
      </w:r>
      <w:r>
        <w:t xml:space="preserve"> </w:t>
      </w:r>
      <w:r>
        <w:t xml:space="preserve">plan; auto-generated hybrid patches as pull requests.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Evaluation:</w:t>
      </w:r>
      <w:r>
        <w:t xml:space="preserve"> </w:t>
      </w:r>
      <w:r>
        <w:t xml:space="preserve">discovery accuracy, ranking quality, actionable precision, patch correctness.</w:t>
      </w:r>
    </w:p>
    <w:bookmarkEnd w:id="26"/>
    <w:bookmarkStart w:id="27" w:name="X0adebeaad0c4515e310ddbd871bd0bf7acf4b9b"/>
    <w:p>
      <w:pPr>
        <w:pStyle w:val="Heading3"/>
      </w:pPr>
      <w:r>
        <w:t xml:space="preserve">4.2 Explicitly out of scope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Binary and firmware analysis.</w:t>
      </w:r>
      <w:r>
        <w:t xml:space="preserve"> </w:t>
      </w:r>
      <w:r>
        <w:t xml:space="preserve">A separate research line already addresses executables [P11]; we</w:t>
      </w:r>
      <w:r>
        <w:t xml:space="preserve"> </w:t>
      </w:r>
      <w:r>
        <w:t xml:space="preserve">will not duplicate 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HSM / PKCS#11 estate discovery and certificate-lifecycle management.</w:t>
      </w:r>
      <w:r>
        <w:t xml:space="preserve"> </w:t>
      </w:r>
      <w:r>
        <w:t xml:space="preserve">Vendor territory, and</w:t>
      </w:r>
      <w:r>
        <w:t xml:space="preserve"> </w:t>
      </w:r>
      <w:r>
        <w:t xml:space="preserve">requires infrastructure we do not have.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Side-channel resistance and constant-time verification</w:t>
      </w:r>
      <w:r>
        <w:t xml:space="preserve"> </w:t>
      </w:r>
      <w:r>
        <w:t xml:space="preserve">of the PQC implementations we emit; we</w:t>
      </w:r>
      <w:r>
        <w:t xml:space="preserve"> </w:t>
      </w:r>
      <w:r>
        <w:t xml:space="preserve">consume liboqs and inherit its properties.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Formal proof</w:t>
      </w:r>
      <w:r>
        <w:t xml:space="preserve"> </w:t>
      </w:r>
      <w:r>
        <w:t xml:space="preserve">of patch equivalence. We use differential testing, and will state that as a</w:t>
      </w:r>
      <w:r>
        <w:t xml:space="preserve"> </w:t>
      </w:r>
      <w:r>
        <w:t xml:space="preserve">soundness limitation rather than claiming verification.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Any quantum hardware, QKD, or QRNG component.</w:t>
      </w:r>
      <w:r>
        <w:t xml:space="preserve"> </w:t>
      </w:r>
      <w:r>
        <w:t xml:space="preserve">The project's relationship to quantum computing is</w:t>
      </w:r>
      <w:r>
        <w:t xml:space="preserve"> </w:t>
      </w:r>
      <w:r>
        <w:t xml:space="preserve">as a</w:t>
      </w:r>
      <w:r>
        <w:t xml:space="preserve"> </w:t>
      </w:r>
      <w:r>
        <w:rPr>
          <w:iCs/>
          <w:i/>
        </w:rPr>
        <w:t xml:space="preserve">threat model</w:t>
      </w:r>
      <w:r>
        <w:t xml:space="preserve">, not a platform. This will be stated in the first paragraph of any publication.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Organisation-level maturity scoring.</w:t>
      </w:r>
      <w:r>
        <w:t xml:space="preserve"> </w:t>
      </w:r>
      <w:r>
        <w:t xml:space="preserve">CARS [P5] occupies that layer; we operate at call-site</w:t>
      </w:r>
      <w:r>
        <w:t xml:space="preserve"> </w:t>
      </w:r>
      <w:r>
        <w:t xml:space="preserve">granularity.</w:t>
      </w:r>
    </w:p>
    <w:bookmarkEnd w:id="27"/>
    <w:bookmarkStart w:id="28" w:name="Xe504012a0f8a7b1835c8cdf9ea98fa2abbdf1cf"/>
    <w:p>
      <w:pPr>
        <w:pStyle w:val="Heading3"/>
      </w:pPr>
      <w:r>
        <w:t xml:space="preserve">4.3 Assumptions</w:t>
      </w:r>
    </w:p>
    <w:p>
      <w:pPr>
        <w:pStyle w:val="FirstParagraph"/>
      </w:pPr>
      <w:r>
        <w:t xml:space="preserve">Source access is available; repositories are analysable statically; retention policy is at least</w:t>
      </w:r>
      <w:r>
        <w:t xml:space="preserve"> </w:t>
      </w:r>
      <w:r>
        <w:t xml:space="preserve">partially expressed in machine-readable configuration; a domain expert (guide or industry contact) is</w:t>
      </w:r>
      <w:r>
        <w:t xml:space="preserve"> </w:t>
      </w:r>
      <w:r>
        <w:t xml:space="preserve">available for approximately 20 hours of priority labelling.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8"/>
    <w:bookmarkEnd w:id="29"/>
    <w:bookmarkStart w:id="34" w:name="X9a2c4fc4bc2baa36c53eb8529b20250b02e6a8b"/>
    <w:p>
      <w:pPr>
        <w:pStyle w:val="Heading2"/>
      </w:pPr>
      <w:r>
        <w:t xml:space="preserve">5. Preliminary Literature Survey</w:t>
      </w:r>
    </w:p>
    <w:bookmarkStart w:id="30" w:name="Xb2991a02512283c1aa6eca57f78a646e6c69c19"/>
    <w:p>
      <w:pPr>
        <w:pStyle w:val="Heading3"/>
      </w:pPr>
      <w:r>
        <w:t xml:space="preserve">5.1 Survey method</w:t>
      </w:r>
    </w:p>
    <w:p>
      <w:pPr>
        <w:pStyle w:val="FirstParagraph"/>
      </w:pPr>
      <w:r>
        <w:t xml:space="preserve">We searched arXiv, IACR ePrint, ACM DL, IEEE Xplore and Springer for the period January 2025 – August</w:t>
      </w:r>
      <w:r>
        <w:t xml:space="preserve"> </w:t>
      </w:r>
      <w:r>
        <w:t xml:space="preserve">2026 using the query families</w:t>
      </w:r>
      <w:r>
        <w:t xml:space="preserve"> </w:t>
      </w:r>
      <w:r>
        <w:rPr>
          <w:iCs/>
          <w:i/>
        </w:rPr>
        <w:t xml:space="preserve">{crypto-agility, cryptographic inventory, CBOM, PQC migration, quantum-safe</w:t>
      </w:r>
      <w:r>
        <w:rPr>
          <w:iCs/>
          <w:i/>
        </w:rPr>
        <w:t xml:space="preserve"> </w:t>
      </w:r>
      <w:r>
        <w:rPr>
          <w:iCs/>
          <w:i/>
        </w:rPr>
        <w:t xml:space="preserve">static analysis, harvest-now-decrypt-later}</w:t>
      </w:r>
      <w:r>
        <w:t xml:space="preserve">, followed by forward and backward citation chasing from the</w:t>
      </w:r>
      <w:r>
        <w:t xml:space="preserve"> </w:t>
      </w:r>
      <w:r>
        <w:t xml:space="preserve">two most recent scanner papers. Thirteen works were retained as directly load-bearing: eleven from</w:t>
      </w:r>
      <w:r>
        <w:t xml:space="preserve"> </w:t>
      </w:r>
      <w:r>
        <w:t xml:space="preserve">2025–2026, one 2024 pre-standardisation toolchain, and one 2019 classical baseline retained because</w:t>
      </w:r>
      <w:r>
        <w:t xml:space="preserve"> </w:t>
      </w:r>
      <w:r>
        <w:t xml:space="preserve">every modern paper positions against it.</w:t>
      </w:r>
    </w:p>
    <w:bookmarkEnd w:id="30"/>
    <w:bookmarkStart w:id="31" w:name="X81aadb64c9b2f4554cf65a8ea81cb8b1c1492a7"/>
    <w:p>
      <w:pPr>
        <w:pStyle w:val="Heading3"/>
      </w:pPr>
      <w:r>
        <w:t xml:space="preserve">5.2 Summary of surveyed work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p>
            <w:pPr>
              <w:pStyle w:val="Compact"/>
              <w:jc w:val="left"/>
            </w:pPr>
            <w:r>
              <w:t xml:space="preserve">Year / venue</w:t>
            </w:r>
          </w:p>
        </w:tc>
        <w:tc>
          <w:p>
            <w:pPr>
              <w:pStyle w:val="Compact"/>
              <w:jc w:val="left"/>
            </w:pPr>
            <w:r>
              <w:t xml:space="preserve">Core contribution</w:t>
            </w:r>
          </w:p>
        </w:tc>
        <w:tc>
          <w:p>
            <w:pPr>
              <w:pStyle w:val="Compact"/>
              <w:jc w:val="left"/>
            </w:pPr>
            <w:r>
              <w:t xml:space="preserve">Key reported numbers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Näther &amp; Hirsch —</w:t>
            </w:r>
            <w:r>
              <w:t xml:space="preserve"> </w:t>
            </w:r>
            <w:r>
              <w:rPr>
                <w:iCs/>
                <w:i/>
              </w:rPr>
              <w:t xml:space="preserve">Hidden Ciphers and Where to Find Them</w:t>
            </w:r>
            <w:r>
              <w:t xml:space="preserve"> </w:t>
            </w:r>
            <w:r>
              <w:t xml:space="preserve">(Crypistry / Crypsy)</w:t>
            </w:r>
          </w:p>
        </w:tc>
        <w:tc>
          <w:p>
            <w:pPr>
              <w:pStyle w:val="Compact"/>
              <w:jc w:val="left"/>
            </w:pPr>
            <w:r>
              <w:t xml:space="preserve">Aug 2026, arXiv 2608.04857</w:t>
            </w:r>
          </w:p>
        </w:tc>
        <w:tc>
          <w:p>
            <w:pPr>
              <w:pStyle w:val="Compact"/>
              <w:jc w:val="left"/>
            </w:pPr>
            <w:r>
              <w:t xml:space="preserve">Rule repository (214 rules) + static scanner + CBOM export; three discovery and two assessment categories</w:t>
            </w:r>
          </w:p>
        </w:tc>
        <w:tc>
          <w:p>
            <w:pPr>
              <w:pStyle w:val="Compact"/>
              <w:jc w:val="left"/>
            </w:pPr>
            <w:r>
              <w:t xml:space="preserve">Benchmark F1 0.75 (P 0.87 / R 0.66); Go invocations F1 0.92; vs CBOMkit 0.66; 370 components over 57,610 files in &lt; 6 min;</w:t>
            </w:r>
            <w:r>
              <w:t xml:space="preserve"> </w:t>
            </w:r>
            <w:r>
              <w:rPr>
                <w:bCs/>
                <w:b/>
              </w:rPr>
              <w:t xml:space="preserve">real-world actionable precision ≈ 0.3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Shaw —</w:t>
            </w:r>
            <w:r>
              <w:t xml:space="preserve"> </w:t>
            </w:r>
            <w:r>
              <w:rPr>
                <w:iCs/>
                <w:i/>
              </w:rPr>
              <w:t xml:space="preserve">Quantum-Safe Code Auditing</w:t>
            </w:r>
          </w:p>
        </w:tc>
        <w:tc>
          <w:p>
            <w:pPr>
              <w:pStyle w:val="Compact"/>
              <w:jc w:val="left"/>
            </w:pPr>
            <w:r>
              <w:t xml:space="preserve">Apr 2026, arXiv 2604.00560</w:t>
            </w:r>
          </w:p>
        </w:tc>
        <w:tc>
          <w:p>
            <w:pPr>
              <w:pStyle w:val="Compact"/>
              <w:jc w:val="left"/>
            </w:pPr>
            <w:r>
              <w:t xml:space="preserve">Regex detection of 15 vulnerable algorithm classes → LLM enrichment → VQE-based quantum-aware threat score (0–10)</w:t>
            </w:r>
          </w:p>
        </w:tc>
        <w:tc>
          <w:p>
            <w:pPr>
              <w:pStyle w:val="Compact"/>
              <w:jc w:val="left"/>
            </w:pPr>
            <w:r>
              <w:t xml:space="preserve">P 71.98% / R 100% / F1 83.71% on a</w:t>
            </w:r>
            <w:r>
              <w:t xml:space="preserve"> </w:t>
            </w:r>
            <w:r>
              <w:rPr>
                <w:bCs/>
                <w:b/>
              </w:rPr>
              <w:t xml:space="preserve">stratified 602 of 5,775</w:t>
            </w:r>
            <w:r>
              <w:t xml:space="preserve"> </w:t>
            </w:r>
            <w:r>
              <w:t xml:space="preserve">findings (10.4% labelled)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Pallarés de Bonrostro et al. —</w:t>
            </w:r>
            <w:r>
              <w:t xml:space="preserve"> </w:t>
            </w:r>
            <w:r>
              <w:rPr>
                <w:iCs/>
                <w:i/>
              </w:rPr>
              <w:t xml:space="preserve">Empirical Evaluation of LLMs for Migration of Code Fragments to PQC</w:t>
            </w:r>
          </w:p>
        </w:tc>
        <w:tc>
          <w:p>
            <w:pPr>
              <w:pStyle w:val="Compact"/>
              <w:jc w:val="left"/>
            </w:pPr>
            <w:r>
              <w:t xml:space="preserve">Jun 2026, arXiv 2606.07341</w:t>
            </w:r>
          </w:p>
        </w:tc>
        <w:tc>
          <w:p>
            <w:pPr>
              <w:pStyle w:val="Compact"/>
              <w:jc w:val="left"/>
            </w:pPr>
            <w:r>
              <w:t xml:space="preserve">800 paired executable Python fragments across six crypto families; fine-tuning study</w:t>
            </w:r>
          </w:p>
        </w:tc>
        <w:tc>
          <w:p>
            <w:pPr>
              <w:pStyle w:val="Compact"/>
              <w:jc w:val="left"/>
            </w:pPr>
            <w:r>
              <w:t xml:space="preserve">Fine-tuned GPT-4.1-mini: static similarity 0.9072,</w:t>
            </w:r>
            <w:r>
              <w:t xml:space="preserve"> </w:t>
            </w:r>
            <w:r>
              <w:rPr>
                <w:bCs/>
                <w:b/>
              </w:rPr>
              <w:t xml:space="preserve">functional correctness 92.5%</w:t>
            </w:r>
            <w:r>
              <w:t xml:space="preserve">; GPT-4.1 zero-shot</w:t>
            </w:r>
            <w:r>
              <w:t xml:space="preserve"> </w:t>
            </w:r>
            <w:r>
              <w:rPr>
                <w:bCs/>
                <w:b/>
              </w:rPr>
              <w:t xml:space="preserve">15%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Zhang —</w:t>
            </w:r>
            <w:r>
              <w:t xml:space="preserve"> </w:t>
            </w:r>
            <w:r>
              <w:rPr>
                <w:iCs/>
                <w:i/>
              </w:rPr>
              <w:t xml:space="preserve">Toward Quantum-Safe Software Engineering</w:t>
            </w:r>
            <w:r>
              <w:t xml:space="preserve"> </w:t>
            </w:r>
            <w:r>
              <w:t xml:space="preserve">(AQuA vision)</w:t>
            </w:r>
          </w:p>
        </w:tc>
        <w:tc>
          <w:p>
            <w:pPr>
              <w:pStyle w:val="Compact"/>
              <w:jc w:val="left"/>
            </w:pPr>
            <w:r>
              <w:t xml:space="preserve">ICSE'26 poster, arXiv 2602.05759</w:t>
            </w:r>
          </w:p>
        </w:tc>
        <w:tc>
          <w:p>
            <w:pPr>
              <w:pStyle w:val="Compact"/>
              <w:jc w:val="left"/>
            </w:pPr>
            <w:r>
              <w:t xml:space="preserve">Positions PQC migration as a distinct SE problem; three-pillar agenda: PQC-aware detection, semantic refactoring, hybrid verification</w:t>
            </w:r>
          </w:p>
        </w:tc>
        <w:tc>
          <w:p>
            <w:pPr>
              <w:pStyle w:val="Compact"/>
              <w:jc w:val="left"/>
            </w:pPr>
            <w:r>
              <w:t xml:space="preserve">Two-page vision; no implementation or evaluation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t xml:space="preserve">Costa —</w:t>
            </w:r>
            <w:r>
              <w:t xml:space="preserve"> </w:t>
            </w:r>
            <w:r>
              <w:rPr>
                <w:iCs/>
                <w:i/>
              </w:rPr>
              <w:t xml:space="preserve">Crypto-Agility Readiness Score (CARS)</w:t>
            </w:r>
          </w:p>
        </w:tc>
        <w:tc>
          <w:p>
            <w:pPr>
              <w:pStyle w:val="Compact"/>
              <w:jc w:val="left"/>
            </w:pPr>
            <w:r>
              <w:t xml:space="preserve">Jul 2026, IACR ePrint 2026/1467</w:t>
            </w:r>
          </w:p>
        </w:tc>
        <w:tc>
          <w:p>
            <w:pPr>
              <w:pStyle w:val="Compact"/>
              <w:jc w:val="left"/>
            </w:pPr>
            <w:r>
              <w:t xml:space="preserve">Five-dimension weighted readiness index (inventory completeness, algorithm compliance, architectural decoupling, toolchain readiness, governance); Delphi-derived weights</w:t>
            </w:r>
          </w:p>
        </w:tc>
        <w:tc>
          <w:p>
            <w:pPr>
              <w:pStyle w:val="Compact"/>
              <w:jc w:val="left"/>
            </w:pPr>
            <w:r>
              <w:t xml:space="preserve">43 OSS repositories in 5 categories; mean scores 24.9–47.5; weights from 12 senior engineers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P6</w:t>
            </w:r>
          </w:p>
        </w:tc>
        <w:tc>
          <w:p>
            <w:pPr>
              <w:pStyle w:val="Compact"/>
              <w:jc w:val="left"/>
            </w:pPr>
            <w:r>
              <w:t xml:space="preserve">IBM Research —</w:t>
            </w:r>
            <w:r>
              <w:t xml:space="preserve"> </w:t>
            </w:r>
            <w:r>
              <w:rPr>
                <w:iCs/>
                <w:i/>
              </w:rPr>
              <w:t xml:space="preserve">The Anatomy of Cryptography Bills of Materials</w:t>
            </w:r>
          </w:p>
        </w:tc>
        <w:tc>
          <w:p>
            <w:pPr>
              <w:pStyle w:val="Compact"/>
              <w:jc w:val="left"/>
            </w:pPr>
            <w:r>
              <w:t xml:space="preserve">Eurocrypt 2026</w:t>
            </w:r>
          </w:p>
        </w:tc>
        <w:tc>
          <w:p>
            <w:pPr>
              <w:pStyle w:val="Compact"/>
              <w:jc w:val="left"/>
            </w:pPr>
            <w:r>
              <w:t xml:space="preserve">Object model for cryptographic assets, dependency relationships and evidence capture in CycloneDX</w:t>
            </w:r>
          </w:p>
        </w:tc>
        <w:tc>
          <w:p>
            <w:pPr>
              <w:pStyle w:val="Compact"/>
              <w:jc w:val="left"/>
            </w:pPr>
            <w:r>
              <w:t xml:space="preserve">Standardisation reference — defines the schema we must emit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P7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Towards Cryptography Bill of Materials Compliance</w:t>
            </w:r>
          </w:p>
        </w:tc>
        <w:tc>
          <w:p>
            <w:pPr>
              <w:pStyle w:val="Compact"/>
              <w:jc w:val="left"/>
            </w:pPr>
            <w:r>
              <w:t xml:space="preserve">2026, Springer LNCS</w:t>
            </w:r>
          </w:p>
        </w:tc>
        <w:tc>
          <w:p>
            <w:pPr>
              <w:pStyle w:val="Compact"/>
              <w:jc w:val="left"/>
            </w:pPr>
            <w:r>
              <w:t xml:space="preserve">Policy-driven engine classifying CBOM assets against customisable machine-readable rules</w:t>
            </w:r>
          </w:p>
        </w:tc>
        <w:tc>
          <w:p>
            <w:pPr>
              <w:pStyle w:val="Compact"/>
              <w:jc w:val="left"/>
            </w:pPr>
            <w:r>
              <w:t xml:space="preserve">Prototype; policy layer above an existing CBOM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P8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On the Practical Feasibility of Harvest-Now, Decrypt-Later Attacks</w:t>
            </w:r>
          </w:p>
        </w:tc>
        <w:tc>
          <w:p>
            <w:pPr>
              <w:pStyle w:val="Compact"/>
              <w:jc w:val="left"/>
            </w:pPr>
            <w:r>
              <w:t xml:space="preserve">2026, arXiv 2603.01091</w:t>
            </w:r>
          </w:p>
        </w:tc>
        <w:tc>
          <w:p>
            <w:pPr>
              <w:pStyle w:val="Compact"/>
              <w:jc w:val="left"/>
            </w:pPr>
            <w:r>
              <w:t xml:space="preserve">Feasibility and economics of HNDL; prioritisation by sensitivity decay</w:t>
            </w:r>
          </w:p>
        </w:tc>
        <w:tc>
          <w:p>
            <w:pPr>
              <w:pStyle w:val="Compact"/>
              <w:jc w:val="left"/>
            </w:pPr>
            <w:r>
              <w:t xml:space="preserve">Healthcare retention 25–50 yr → Mosca deadline already passed; forward secrecy cannot retroactively protect captured traffic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P9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Post-Quantum Cryptography and Quantum-Safe Security: A Comprehensive Survey</w:t>
            </w:r>
          </w:p>
        </w:tc>
        <w:tc>
          <w:p>
            <w:pPr>
              <w:pStyle w:val="Compact"/>
              <w:jc w:val="left"/>
            </w:pPr>
            <w:r>
              <w:t xml:space="preserve">Oct 2025, rev. Jun 2026, arXiv 2510.10436</w:t>
            </w:r>
          </w:p>
        </w:tc>
        <w:tc>
          <w:p>
            <w:pPr>
              <w:pStyle w:val="Compact"/>
              <w:jc w:val="left"/>
            </w:pPr>
            <w:r>
              <w:t xml:space="preserve">Consolidated survey post-FIPS 203/204/205; crypto-agility and hybrid migration as organising themes</w:t>
            </w:r>
          </w:p>
        </w:tc>
        <w:tc>
          <w:p>
            <w:pPr>
              <w:pStyle w:val="Compact"/>
              <w:jc w:val="left"/>
            </w:pPr>
            <w:r>
              <w:t xml:space="preserve">Survey; establishes standard-selection consensus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P10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Securing Cryptography in the Age of Quantum Computing and AI</w:t>
            </w:r>
          </w:p>
        </w:tc>
        <w:tc>
          <w:p>
            <w:pPr>
              <w:pStyle w:val="Compact"/>
              <w:jc w:val="left"/>
            </w:pPr>
            <w:r>
              <w:t xml:space="preserve">Mar 2026, arXiv 2603.06969</w:t>
            </w:r>
          </w:p>
        </w:tc>
        <w:tc>
          <w:p>
            <w:pPr>
              <w:pStyle w:val="Compact"/>
              <w:jc w:val="left"/>
            </w:pPr>
            <w:r>
              <w:t xml:space="preserve">Threat landscape, implementation status and strategic response synthesis</w:t>
            </w:r>
          </w:p>
        </w:tc>
        <w:tc>
          <w:p>
            <w:pPr>
              <w:pStyle w:val="Compact"/>
              <w:jc w:val="left"/>
            </w:pPr>
            <w:r>
              <w:t xml:space="preserve">Positioning / roadmap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P11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Toolchain for Assisting Migration of Software Executables Towards PQC</w:t>
            </w:r>
          </w:p>
        </w:tc>
        <w:tc>
          <w:p>
            <w:pPr>
              <w:pStyle w:val="Compact"/>
              <w:jc w:val="left"/>
            </w:pPr>
            <w:r>
              <w:t xml:space="preserve">2024, arXiv 2409.07852</w:t>
            </w:r>
          </w:p>
        </w:tc>
        <w:tc>
          <w:p>
            <w:pPr>
              <w:pStyle w:val="Compact"/>
              <w:jc w:val="left"/>
            </w:pPr>
            <w:r>
              <w:t xml:space="preserve">Binary-level detection and migration assistance for compiled artefacts</w:t>
            </w:r>
          </w:p>
        </w:tc>
        <w:tc>
          <w:p>
            <w:pPr>
              <w:pStyle w:val="Compact"/>
              <w:jc w:val="left"/>
            </w:pPr>
            <w:r>
              <w:t xml:space="preserve">Pre-standardisation; complementary analysis level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P12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Cost of Waiting: Decision-Theoretic Synthesis of Early vs Late PQC Migration Under Uncertainty</w:t>
            </w:r>
          </w:p>
        </w:tc>
        <w:tc>
          <w:p>
            <w:pPr>
              <w:pStyle w:val="Compact"/>
              <w:jc w:val="left"/>
            </w:pPr>
            <w:r>
              <w:t xml:space="preserve">2026, Frontiers Quantum Sci. Tech.</w:t>
            </w:r>
          </w:p>
        </w:tc>
        <w:tc>
          <w:p>
            <w:pPr>
              <w:pStyle w:val="Compact"/>
              <w:jc w:val="left"/>
            </w:pPr>
            <w:r>
              <w:t xml:space="preserve">Decision-theoretic treatment of migration timing under CRQC-date uncertainty</w:t>
            </w:r>
          </w:p>
        </w:tc>
        <w:tc>
          <w:p>
            <w:pPr>
              <w:pStyle w:val="Compact"/>
              <w:jc w:val="left"/>
            </w:pPr>
            <w:r>
              <w:t xml:space="preserve">Provides the utility model our score can be justified against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P13</w:t>
            </w:r>
          </w:p>
        </w:tc>
        <w:tc>
          <w:p>
            <w:pPr>
              <w:pStyle w:val="Compact"/>
              <w:jc w:val="left"/>
            </w:pPr>
            <w:r>
              <w:t xml:space="preserve">Rahaman et al. —</w:t>
            </w:r>
            <w:r>
              <w:t xml:space="preserve"> </w:t>
            </w:r>
            <w:r>
              <w:rPr>
                <w:iCs/>
                <w:i/>
              </w:rPr>
              <w:t xml:space="preserve">CryptoGuard</w:t>
            </w:r>
          </w:p>
        </w:tc>
        <w:tc>
          <w:p>
            <w:pPr>
              <w:pStyle w:val="Compact"/>
              <w:jc w:val="left"/>
            </w:pPr>
            <w:r>
              <w:t xml:space="preserve">CCS 2019</w:t>
            </w:r>
          </w:p>
        </w:tc>
        <w:tc>
          <w:p>
            <w:pPr>
              <w:pStyle w:val="Compact"/>
              <w:jc w:val="left"/>
            </w:pPr>
            <w:r>
              <w:t xml:space="preserve">Backward dataflow analysis detecting 22 classes of classical cryptographic API misuse in Java</w:t>
            </w:r>
          </w:p>
        </w:tc>
        <w:tc>
          <w:p>
            <w:pPr>
              <w:pStyle w:val="Compact"/>
              <w:jc w:val="left"/>
            </w:pPr>
            <w:r>
              <w:t xml:space="preserve">The classical baseline;</w:t>
            </w:r>
            <w:r>
              <w:t xml:space="preserve"> </w:t>
            </w:r>
            <w:r>
              <w:rPr>
                <w:bCs/>
                <w:b/>
              </w:rPr>
              <w:t xml:space="preserve">proves inter-procedural crypto dataflow at scale is tractable</w:t>
            </w:r>
          </w:p>
        </w:tc>
      </w:tr>
    </w:tbl>
    <w:bookmarkEnd w:id="31"/>
    <w:bookmarkStart w:id="32" w:name="Xb842cc8cbf9d3889e4fecf6bc469a3ce68be21b"/>
    <w:p>
      <w:pPr>
        <w:pStyle w:val="Heading3"/>
      </w:pPr>
      <w:r>
        <w:t xml:space="preserve">5.3 Critical analysis: what each work gets wrong, and our correction</w:t>
      </w:r>
    </w:p>
    <w:p>
      <w:pPr>
        <w:pStyle w:val="FirstParagraph"/>
      </w:pPr>
      <w:r>
        <w:t xml:space="preserve">This is the core of the review. For each work we state the flaw</w:t>
      </w:r>
      <w:r>
        <w:t xml:space="preserve"> </w:t>
      </w:r>
      <w:r>
        <w:rPr>
          <w:iCs/>
          <w:i/>
        </w:rPr>
        <w:t xml:space="preserve">in its own terms</w:t>
      </w:r>
      <w:r>
        <w:t xml:space="preserve"> </w:t>
      </w:r>
      <w:r>
        <w:t xml:space="preserve">— from stated</w:t>
      </w:r>
      <w:r>
        <w:t xml:space="preserve"> </w:t>
      </w:r>
      <w:r>
        <w:t xml:space="preserve">limitations, from methodology, or from what its evaluation omits — and the corresponding correction in</w:t>
      </w:r>
      <w:r>
        <w:t xml:space="preserve"> </w:t>
      </w:r>
      <w:r>
        <w:t xml:space="preserve">our design.</w:t>
      </w:r>
    </w:p>
    <w:p>
      <w:pPr>
        <w:pStyle w:val="BodyText"/>
      </w:pPr>
      <w:r>
        <w:rPr>
          <w:bCs/>
          <w:b/>
        </w:rPr>
        <w:t xml:space="preserve">P1 — Crypsy (the strongest and closest baseline).</w:t>
      </w:r>
      <w:r>
        <w:t xml:space="preserve"> </w:t>
      </w:r>
      <w:r>
        <w:rPr>
          <w:iCs/>
          <w:i/>
        </w:rPr>
        <w:t xml:space="preserve">Flaw 1 (context-blindness, admitted).</w:t>
      </w:r>
      <w:r>
        <w:t xml:space="preserve"> </w:t>
      </w:r>
      <w:r>
        <w:t xml:space="preserve">Assessment rules "fire on all matching invocations regardless</w:t>
      </w:r>
      <w:r>
        <w:t xml:space="preserve"> </w:t>
      </w:r>
      <w:r>
        <w:t xml:space="preserve">of usage context." The consequence is quantified by the authors themselves: real-world actionable</w:t>
      </w:r>
      <w:r>
        <w:t xml:space="preserve"> </w:t>
      </w:r>
      <w:r>
        <w:t xml:space="preserve">precision ≈ 0.3. A rule for weak password hashing cannot tell a password from a cache key because the</w:t>
      </w:r>
      <w:r>
        <w:t xml:space="preserve"> </w:t>
      </w:r>
      <w:r>
        <w:t xml:space="preserve">rule sees only the call, not the value flowing into it.</w:t>
      </w:r>
      <w:r>
        <w:t xml:space="preserve"> </w:t>
      </w:r>
      <w:r>
        <w:rPr>
          <w:iCs/>
          <w:i/>
        </w:rPr>
        <w:t xml:space="preserve">Flaw 2 (no dataflow).</w:t>
      </w:r>
      <w:r>
        <w:t xml:space="preserve"> </w:t>
      </w:r>
      <w:r>
        <w:t xml:space="preserve">Confirmed absent. The tool is a pattern matcher with an excellent rule corpus;</w:t>
      </w:r>
      <w:r>
        <w:t xml:space="preserve"> </w:t>
      </w:r>
      <w:r>
        <w:t xml:space="preserve">there is no notion of what data a primitive protects.</w:t>
      </w:r>
      <w:r>
        <w:t xml:space="preserve"> </w:t>
      </w:r>
      <w:r>
        <w:rPr>
          <w:iCs/>
          <w:i/>
        </w:rPr>
        <w:t xml:space="preserve">Flaw 3 (no prioritisation).</w:t>
      </w:r>
      <w:r>
        <w:t xml:space="preserve"> </w:t>
      </w:r>
      <w:r>
        <w:t xml:space="preserve">370 components and 52 migration candidates are reported as a</w:t>
      </w:r>
      <w:r>
        <w:t xml:space="preserve"> </w:t>
      </w:r>
      <w:r>
        <w:rPr>
          <w:iCs/>
          <w:i/>
        </w:rPr>
        <w:t xml:space="preserve">set</w:t>
      </w:r>
      <w:r>
        <w:t xml:space="preserve">, not</w:t>
      </w:r>
      <w:r>
        <w:t xml:space="preserve"> </w:t>
      </w:r>
      <w:r>
        <w:t xml:space="preserve">an order. The output does not answer the operator's actual question.</w:t>
      </w:r>
      <w:r>
        <w:t xml:space="preserve"> </w:t>
      </w:r>
      <w:r>
        <w:rPr>
          <w:iCs/>
          <w:i/>
        </w:rPr>
        <w:t xml:space="preserve">Flaw 4 (recall asymmetry).</w:t>
      </w:r>
      <w:r>
        <w:t xml:space="preserve"> </w:t>
      </w:r>
      <w:r>
        <w:t xml:space="preserve">Precision 0.87 against recall 0.66 — a third of ground-truth assets are</w:t>
      </w:r>
      <w:r>
        <w:t xml:space="preserve"> </w:t>
      </w:r>
      <w:r>
        <w:t xml:space="preserve">missed, and the authors note that arguments "computed at runtime" cannot be resolved.</w:t>
      </w:r>
      <w:r>
        <w:t xml:space="preserve"> </w:t>
      </w:r>
      <w:r>
        <w:rPr>
          <w:iCs/>
          <w:i/>
        </w:rPr>
        <w:t xml:space="preserve">Flaw 5 (coverage).</w:t>
      </w:r>
      <w:r>
        <w:t xml:space="preserve"> </w:t>
      </w:r>
      <w:r>
        <w:t xml:space="preserve">Java, C/C++ and Python "not yet demonstrated" — the ecosystems that matter.</w:t>
      </w:r>
      <w:r>
        <w:t xml:space="preserve"> </w:t>
      </w:r>
      <w:r>
        <w:rPr>
          <w:bCs/>
          <w:b/>
        </w:rPr>
        <w:t xml:space="preserve">Our correction.</w:t>
      </w:r>
      <w:r>
        <w:t xml:space="preserve"> </w:t>
      </w:r>
      <w:r>
        <w:t xml:space="preserve">We treat Crypsy's rule corpus as the</w:t>
      </w:r>
      <w:r>
        <w:t xml:space="preserve"> </w:t>
      </w:r>
      <w:r>
        <w:rPr>
          <w:iCs/>
          <w:i/>
        </w:rPr>
        <w:t xml:space="preserve">input</w:t>
      </w:r>
      <w:r>
        <w:t xml:space="preserve"> </w:t>
      </w:r>
      <w:r>
        <w:t xml:space="preserve">to our contribution rather than a</w:t>
      </w:r>
      <w:r>
        <w:t xml:space="preserve"> </w:t>
      </w:r>
      <w:r>
        <w:t xml:space="preserve">competitor: reuse the discovery layer, add the semantic layer above it. Dataflow context directly</w:t>
      </w:r>
      <w:r>
        <w:t xml:space="preserve"> </w:t>
      </w:r>
      <w:r>
        <w:t xml:space="preserve">attacks Flaw 1 (a value that reaches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from an HTTP form field is a password; one that reaches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 </w:t>
      </w:r>
      <w:r>
        <w:t xml:space="preserve">from a file handle and terminates in a cache key is not), Flaw 2 by construction, and Flaw 3 by</w:t>
      </w:r>
      <w:r>
        <w:t xml:space="preserve"> </w:t>
      </w:r>
      <w:r>
        <w:t xml:space="preserve">producing a ranked plan. We address Flaw 4 partially with constant propagation and type inference to</w:t>
      </w:r>
      <w:r>
        <w:t xml:space="preserve"> </w:t>
      </w:r>
      <w:r>
        <w:t xml:space="preserve">resolve some runtime-computed algorithm identifiers, and will report honestly on the residual. Flaw 5 is</w:t>
      </w:r>
      <w:r>
        <w:t xml:space="preserve"> </w:t>
      </w:r>
      <w:r>
        <w:t xml:space="preserve">our scope choice (O1).</w:t>
      </w:r>
    </w:p>
    <w:p>
      <w:pPr>
        <w:pStyle w:val="BodyText"/>
      </w:pPr>
      <w:r>
        <w:rPr>
          <w:bCs/>
          <w:b/>
        </w:rPr>
        <w:t xml:space="preserve">P2 — Quantum-Safe Code Auditing (closest prior art on scoring).</w:t>
      </w:r>
      <w:r>
        <w:t xml:space="preserve"> </w:t>
      </w:r>
      <w:r>
        <w:rPr>
          <w:iCs/>
          <w:i/>
        </w:rPr>
        <w:t xml:space="preserve">Flaw 1 (the score cannot discriminate).</w:t>
      </w:r>
      <w:r>
        <w:t xml:space="preserve"> </w:t>
      </w:r>
      <w:r>
        <w:t xml:space="preserve">The VQE threat score is a function of algorithm properties</w:t>
      </w:r>
      <w:r>
        <w:t xml:space="preserve"> </w:t>
      </w:r>
      <w:r>
        <w:t xml:space="preserve">only — key size, Shor-path qubit cost, Grover factor, forward-security exposure. Every RSA-2048 site in</w:t>
      </w:r>
      <w:r>
        <w:t xml:space="preserve"> </w:t>
      </w:r>
      <w:r>
        <w:t xml:space="preserve">a repository receives the same score. A prioritisation signal that is constant across the set it is</w:t>
      </w:r>
      <w:r>
        <w:t xml:space="preserve"> </w:t>
      </w:r>
      <w:r>
        <w:t xml:space="preserve">meant to order carries no information about that set.</w:t>
      </w:r>
      <w:r>
        <w:t xml:space="preserve"> </w:t>
      </w:r>
      <w:r>
        <w:rPr>
          <w:iCs/>
          <w:i/>
        </w:rPr>
        <w:t xml:space="preserve">Flaw 2 (quantum machinery is decorative).</w:t>
      </w:r>
      <w:r>
        <w:t xml:space="preserve"> </w:t>
      </w:r>
      <w:r>
        <w:t xml:space="preserve">A parameterised two-qubit circuit minimising a diagonal</w:t>
      </w:r>
      <w:r>
        <w:t xml:space="preserve"> </w:t>
      </w:r>
      <w:r>
        <w:t xml:space="preserve">Hamiltonian whose coefficients are published qubit-cost estimates is a weighted sum computed</w:t>
      </w:r>
      <w:r>
        <w:t xml:space="preserve"> </w:t>
      </w:r>
      <w:r>
        <w:t xml:space="preserve">expensively. The authors concede the outputs "are not forecasts of actual qubit requirements."</w:t>
      </w:r>
      <w:r>
        <w:t xml:space="preserve"> </w:t>
      </w:r>
      <w:r>
        <w:rPr>
          <w:iCs/>
          <w:i/>
        </w:rPr>
        <w:t xml:space="preserve">Flaw 3 (evaluation ceiling).</w:t>
      </w:r>
      <w:r>
        <w:t xml:space="preserve"> </w:t>
      </w:r>
      <w:r>
        <w:t xml:space="preserve">Metrics come from a stratified 10.4% sample, with the authors</w:t>
      </w:r>
      <w:r>
        <w:t xml:space="preserve"> </w:t>
      </w:r>
      <w:r>
        <w:t xml:space="preserve">acknowledging that extrapolation "assumes the unlabelled 89.6% has similar label distribution — a</w:t>
      </w:r>
      <w:r>
        <w:t xml:space="preserve"> </w:t>
      </w:r>
      <w:r>
        <w:t xml:space="preserve">reasonable but unverified assumption." Recall of 100% on such a sample also indicates a detection task</w:t>
      </w:r>
      <w:r>
        <w:t xml:space="preserve"> </w:t>
      </w:r>
      <w:r>
        <w:t xml:space="preserve">made easy by construction.</w:t>
      </w:r>
      <w:r>
        <w:t xml:space="preserve"> </w:t>
      </w:r>
      <w:r>
        <w:rPr>
          <w:iCs/>
          <w:i/>
        </w:rPr>
        <w:t xml:space="preserve">Flaw 4 (no baseline comparison).</w:t>
      </w:r>
      <w:r>
        <w:t xml:space="preserve"> </w:t>
      </w:r>
      <w:r>
        <w:t xml:space="preserve">Comparison against CryptoGuard, Bandit and SonarQube is listed as</w:t>
      </w:r>
      <w:r>
        <w:t xml:space="preserve"> </w:t>
      </w:r>
      <w:r>
        <w:rPr>
          <w:iCs/>
          <w:i/>
        </w:rPr>
        <w:t xml:space="preserve">future work</w:t>
      </w:r>
      <w:r>
        <w:t xml:space="preserve">, so the 71.98% precision figure is unanchored.</w:t>
      </w:r>
      <w:r>
        <w:t xml:space="preserve"> </w:t>
      </w:r>
      <w:r>
        <w:rPr>
          <w:bCs/>
          <w:b/>
        </w:rPr>
        <w:t xml:space="preserve">Our correction.</w:t>
      </w:r>
      <w:r>
        <w:t xml:space="preserve"> </w:t>
      </w:r>
      <w:r>
        <w:t xml:space="preserve">Our score is a function of the</w:t>
      </w:r>
      <w:r>
        <w:t xml:space="preserve"> </w:t>
      </w:r>
      <w:r>
        <w:rPr>
          <w:iCs/>
          <w:i/>
        </w:rPr>
        <w:t xml:space="preserve">protected data path</w:t>
      </w:r>
      <w:r>
        <w:t xml:space="preserve"> </w:t>
      </w:r>
      <w:r>
        <w:t xml:space="preserve">— retention lifetime × exposure</w:t>
      </w:r>
      <w:r>
        <w:t xml:space="preserve"> </w:t>
      </w:r>
      <w:r>
        <w:t xml:space="preserve">surface × algorithm class × key reuse — so it varies across identical algorithms and orders them. We</w:t>
      </w:r>
      <w:r>
        <w:t xml:space="preserve"> </w:t>
      </w:r>
      <w:r>
        <w:t xml:space="preserve">justify it against a decision-theoretic utility model [P12] and Mosca's inequality [P8] rather than a</w:t>
      </w:r>
      <w:r>
        <w:t xml:space="preserve"> </w:t>
      </w:r>
      <w:r>
        <w:t xml:space="preserve">quantum circuit, and we state plainly that no quantum computation is involved. We evaluate on a fully</w:t>
      </w:r>
      <w:r>
        <w:t xml:space="preserve"> </w:t>
      </w:r>
      <w:r>
        <w:t xml:space="preserve">labelled benchmark, report ranking quality (which P2 never measures), and run the baseline comparisons</w:t>
      </w:r>
      <w:r>
        <w:t xml:space="preserve"> </w:t>
      </w:r>
      <w:r>
        <w:t xml:space="preserve">P2 defers.</w:t>
      </w:r>
    </w:p>
    <w:p>
      <w:pPr>
        <w:pStyle w:val="BodyText"/>
      </w:pPr>
      <w:r>
        <w:rPr>
          <w:bCs/>
          <w:b/>
        </w:rPr>
        <w:t xml:space="preserve">P3 — LLM migration of code fragments.</w:t>
      </w:r>
      <w:r>
        <w:t xml:space="preserve"> </w:t>
      </w:r>
      <w:r>
        <w:rPr>
          <w:iCs/>
          <w:i/>
        </w:rPr>
        <w:t xml:space="preserve">Flaw 1 (synthetic single-fragment setting).</w:t>
      </w:r>
      <w:r>
        <w:t xml:space="preserve"> </w:t>
      </w:r>
      <w:r>
        <w:t xml:space="preserve">800</w:t>
      </w:r>
      <w:r>
        <w:t xml:space="preserve"> </w:t>
      </w:r>
      <w:r>
        <w:rPr>
          <w:iCs/>
          <w:i/>
        </w:rPr>
        <w:t xml:space="preserve">paired</w:t>
      </w:r>
      <w:r>
        <w:t xml:space="preserve"> </w:t>
      </w:r>
      <w:r>
        <w:t xml:space="preserve">fragments constructed synthetically. The</w:t>
      </w:r>
      <w:r>
        <w:t xml:space="preserve"> </w:t>
      </w:r>
      <w:r>
        <w:t xml:space="preserve">authors state real-world validation "showed degraded performance" and that "complex multi-file</w:t>
      </w:r>
      <w:r>
        <w:t xml:space="preserve"> </w:t>
      </w:r>
      <w:r>
        <w:t xml:space="preserve">dependencies remain problematic." The 92.5% headline therefore describes the easiest possible instance</w:t>
      </w:r>
      <w:r>
        <w:t xml:space="preserve"> </w:t>
      </w:r>
      <w:r>
        <w:t xml:space="preserve">of the task.</w:t>
      </w:r>
      <w:r>
        <w:t xml:space="preserve"> </w:t>
      </w:r>
      <w:r>
        <w:rPr>
          <w:iCs/>
          <w:i/>
        </w:rPr>
        <w:t xml:space="preserve">Flaw 2 (verification is round-trip testing, not equivalence).</w:t>
      </w:r>
      <w:r>
        <w:t xml:space="preserve"> </w:t>
      </w:r>
      <w:r>
        <w:t xml:space="preserve">Correctness was judged by functional</w:t>
      </w:r>
      <w:r>
        <w:t xml:space="preserve"> </w:t>
      </w:r>
      <w:r>
        <w:t xml:space="preserve">tests — encrypt/decrypt round-trips, signature verification, KEM encapsulation cycles. A round-trip</w:t>
      </w:r>
      <w:r>
        <w:t xml:space="preserve"> </w:t>
      </w:r>
      <w:r>
        <w:t xml:space="preserve">passes even if the patch silently weakens parameters, changes key derivation, or breaks interoperability</w:t>
      </w:r>
      <w:r>
        <w:t xml:space="preserve"> </w:t>
      </w:r>
      <w:r>
        <w:t xml:space="preserve">with an unmigrated peer.</w:t>
      </w:r>
      <w:r>
        <w:t xml:space="preserve"> </w:t>
      </w:r>
      <w:r>
        <w:rPr>
          <w:iCs/>
          <w:i/>
        </w:rPr>
        <w:t xml:space="preserve">Flaw 3 (no discovery step).</w:t>
      </w:r>
      <w:r>
        <w:t xml:space="preserve"> </w:t>
      </w:r>
      <w:r>
        <w:t xml:space="preserve">The task assumes the fragment to migrate has already been identified and</w:t>
      </w:r>
      <w:r>
        <w:t xml:space="preserve"> </w:t>
      </w:r>
      <w:r>
        <w:t xml:space="preserve">isolated — precisely the step that is hard in a real repository.</w:t>
      </w:r>
      <w:r>
        <w:t xml:space="preserve"> </w:t>
      </w:r>
      <w:r>
        <w:rPr>
          <w:iCs/>
          <w:i/>
        </w:rPr>
        <w:t xml:space="preserve">Flaw 4 (Python only, and closed models).</w:t>
      </w:r>
      <w:r>
        <w:t xml:space="preserve"> </w:t>
      </w:r>
      <w:r>
        <w:t xml:space="preserve">Reproducibility is bounded by proprietary API versions.</w:t>
      </w:r>
      <w:r>
        <w:t xml:space="preserve"> </w:t>
      </w:r>
      <w:r>
        <w:rPr>
          <w:bCs/>
          <w:b/>
        </w:rPr>
        <w:t xml:space="preserve">Our correction.</w:t>
      </w:r>
      <w:r>
        <w:t xml:space="preserve"> </w:t>
      </w:r>
      <w:r>
        <w:t xml:space="preserve">Patch synthesis is the</w:t>
      </w:r>
      <w:r>
        <w:t xml:space="preserve"> </w:t>
      </w:r>
      <w:r>
        <w:rPr>
          <w:iCs/>
          <w:i/>
        </w:rPr>
        <w:t xml:space="preserve">last</w:t>
      </w:r>
      <w:r>
        <w:t xml:space="preserve"> </w:t>
      </w:r>
      <w:r>
        <w:t xml:space="preserve">stage of our pipeline, applied to sites our own</w:t>
      </w:r>
      <w:r>
        <w:t xml:space="preserve"> </w:t>
      </w:r>
      <w:r>
        <w:t xml:space="preserve">analysis located, in real multi-file repositories, and verified by</w:t>
      </w:r>
      <w:r>
        <w:t xml:space="preserve"> </w:t>
      </w:r>
      <w:r>
        <w:rPr>
          <w:bCs/>
          <w:b/>
        </w:rPr>
        <w:t xml:space="preserve">differential testing against the</w:t>
      </w:r>
      <w:r>
        <w:rPr>
          <w:bCs/>
          <w:b/>
        </w:rPr>
        <w:t xml:space="preserve"> </w:t>
      </w:r>
      <w:r>
        <w:rPr>
          <w:bCs/>
          <w:b/>
        </w:rPr>
        <w:t xml:space="preserve">unmigrated implementation</w:t>
      </w:r>
      <w:r>
        <w:t xml:space="preserve"> </w:t>
      </w:r>
      <w:r>
        <w:t xml:space="preserve">plus property-based tests plus an interoperability check with a</w:t>
      </w:r>
      <w:r>
        <w:t xml:space="preserve"> </w:t>
      </w:r>
      <w:r>
        <w:t xml:space="preserve">non-migrated peer under hybrid negotiation. We will report the honest degradation from 92.5% and treat</w:t>
      </w:r>
      <w:r>
        <w:t xml:space="preserve"> </w:t>
      </w:r>
      <w:r>
        <w:t xml:space="preserve">the gap between synthetic and real as a finding.</w:t>
      </w:r>
    </w:p>
    <w:p>
      <w:pPr>
        <w:pStyle w:val="BodyText"/>
      </w:pPr>
      <w:r>
        <w:rPr>
          <w:bCs/>
          <w:b/>
        </w:rPr>
        <w:t xml:space="preserve">P4 — AQuA vision paper.</w:t>
      </w:r>
      <w:r>
        <w:t xml:space="preserve"> </w:t>
      </w:r>
      <w:r>
        <w:rPr>
          <w:iCs/>
          <w:i/>
        </w:rPr>
        <w:t xml:space="preserve">Flaw:</w:t>
      </w:r>
      <w:r>
        <w:t xml:space="preserve"> </w:t>
      </w:r>
      <w:r>
        <w:t xml:space="preserve">it is a two-page agenda. It correctly names detection, semantic refactoring and hybrid</w:t>
      </w:r>
      <w:r>
        <w:t xml:space="preserve"> </w:t>
      </w:r>
      <w:r>
        <w:t xml:space="preserve">verification as the three missing pillars, and implements none of them; its critique of existing tools</w:t>
      </w:r>
      <w:r>
        <w:t xml:space="preserve"> </w:t>
      </w:r>
      <w:r>
        <w:t xml:space="preserve">(not designed for "PQC's probabilistic behavior, side-channel sensitivity, and complex performance</w:t>
      </w:r>
      <w:r>
        <w:t xml:space="preserve"> </w:t>
      </w:r>
      <w:r>
        <w:t xml:space="preserve">trade-offs") is asserted rather than measured.</w:t>
      </w:r>
      <w:r>
        <w:t xml:space="preserve"> </w:t>
      </w:r>
      <w:r>
        <w:rPr>
          <w:bCs/>
          <w:b/>
        </w:rPr>
        <w:t xml:space="preserve">Our correction.</w:t>
      </w:r>
      <w:r>
        <w:t xml:space="preserve"> </w:t>
      </w:r>
      <w:r>
        <w:t xml:space="preserve">We implement and measure two of the three pillars (semantic refactoring, hybrid</w:t>
      </w:r>
      <w:r>
        <w:t xml:space="preserve"> </w:t>
      </w:r>
      <w:r>
        <w:t xml:space="preserve">verification) and cite this paper as independent third-party confirmation that the gap we target is the</w:t>
      </w:r>
      <w:r>
        <w:t xml:space="preserve"> </w:t>
      </w:r>
      <w:r>
        <w:t xml:space="preserve">recognised one. We do not adopt its side-channel claim, since we do not evaluate side channels.</w:t>
      </w:r>
    </w:p>
    <w:p>
      <w:pPr>
        <w:pStyle w:val="BodyText"/>
      </w:pPr>
      <w:r>
        <w:rPr>
          <w:bCs/>
          <w:b/>
        </w:rPr>
        <w:t xml:space="preserve">P5 — CARS.</w:t>
      </w:r>
      <w:r>
        <w:t xml:space="preserve"> </w:t>
      </w:r>
      <w:r>
        <w:rPr>
          <w:iCs/>
          <w:i/>
        </w:rPr>
        <w:t xml:space="preserve">Flaw 1 (wrong granularity).</w:t>
      </w:r>
      <w:r>
        <w:t xml:space="preserve"> </w:t>
      </w:r>
      <w:r>
        <w:t xml:space="preserve">Scores an organisation or repository on five dimensions. An engineer with</w:t>
      </w:r>
      <w:r>
        <w:t xml:space="preserve"> </w:t>
      </w:r>
      <w:r>
        <w:t xml:space="preserve">a sprint to plan cannot act on the number 31.4.</w:t>
      </w:r>
      <w:r>
        <w:t xml:space="preserve"> </w:t>
      </w:r>
      <w:r>
        <w:rPr>
          <w:iCs/>
          <w:i/>
        </w:rPr>
        <w:t xml:space="preserve">Flaw 2 (subjective weights).</w:t>
      </w:r>
      <w:r>
        <w:t xml:space="preserve"> </w:t>
      </w:r>
      <w:r>
        <w:t xml:space="preserve">Weights derive from a 12-expert Delphi process — defensible but not</w:t>
      </w:r>
      <w:r>
        <w:t xml:space="preserve"> </w:t>
      </w:r>
      <w:r>
        <w:t xml:space="preserve">grounded in outcomes.</w:t>
      </w:r>
      <w:r>
        <w:t xml:space="preserve"> </w:t>
      </w:r>
      <w:r>
        <w:rPr>
          <w:iCs/>
          <w:i/>
        </w:rPr>
        <w:t xml:space="preserve">Flaw 3 (unvalidated, admitted).</w:t>
      </w:r>
      <w:r>
        <w:t xml:space="preserve"> </w:t>
      </w:r>
      <w:r>
        <w:t xml:space="preserve">"External predictive validation against migration outcomes remains</w:t>
      </w:r>
      <w:r>
        <w:t xml:space="preserve"> </w:t>
      </w:r>
      <w:r>
        <w:t xml:space="preserve">future work." The index has never been shown to predict anything.</w:t>
      </w:r>
      <w:r>
        <w:t xml:space="preserve"> </w:t>
      </w:r>
      <w:r>
        <w:rPr>
          <w:bCs/>
          <w:b/>
        </w:rPr>
        <w:t xml:space="preserve">Our correction.</w:t>
      </w:r>
      <w:r>
        <w:t xml:space="preserve"> </w:t>
      </w:r>
      <w:r>
        <w:t xml:space="preserve">We score</w:t>
      </w:r>
      <w:r>
        <w:t xml:space="preserve"> </w:t>
      </w:r>
      <w:r>
        <w:rPr>
          <w:iCs/>
          <w:i/>
        </w:rPr>
        <w:t xml:space="preserve">data paths</w:t>
      </w:r>
      <w:r>
        <w:t xml:space="preserve">, not organisations, so each score names an actionable unit of</w:t>
      </w:r>
      <w:r>
        <w:t xml:space="preserve"> </w:t>
      </w:r>
      <w:r>
        <w:t xml:space="preserve">work. Validation is against an expert-elicited priority</w:t>
      </w:r>
      <w:r>
        <w:t xml:space="preserve"> </w:t>
      </w:r>
      <w:r>
        <w:rPr>
          <w:iCs/>
          <w:i/>
        </w:rPr>
        <w:t xml:space="preserve">ordering</w:t>
      </w:r>
      <w:r>
        <w:t xml:space="preserve"> </w:t>
      </w:r>
      <w:r>
        <w:t xml:space="preserve">on held-out repositories (a</w:t>
      </w:r>
      <w:r>
        <w:t xml:space="preserve"> </w:t>
      </w:r>
      <w:r>
        <w:t xml:space="preserve">measurable target) rather than against expert-assigned weights, which avoids validating the model on the</w:t>
      </w:r>
      <w:r>
        <w:t xml:space="preserve"> </w:t>
      </w:r>
      <w:r>
        <w:t xml:space="preserve">same opinions that built it.</w:t>
      </w:r>
    </w:p>
    <w:p>
      <w:pPr>
        <w:pStyle w:val="BodyText"/>
      </w:pPr>
      <w:r>
        <w:rPr>
          <w:bCs/>
          <w:b/>
        </w:rPr>
        <w:t xml:space="preserve">P6, P7 — CBOM standardisation and compliance policy.</w:t>
      </w:r>
      <w:r>
        <w:t xml:space="preserve"> </w:t>
      </w:r>
      <w:r>
        <w:rPr>
          <w:iCs/>
          <w:i/>
        </w:rPr>
        <w:t xml:space="preserve">Flaw:</w:t>
      </w:r>
      <w:r>
        <w:t xml:space="preserve"> </w:t>
      </w:r>
      <w:r>
        <w:t xml:space="preserve">both operate strictly above the inventory. P6 defines the schema and the evidence model; P7 adds</w:t>
      </w:r>
      <w:r>
        <w:t xml:space="preserve"> </w:t>
      </w:r>
      <w:r>
        <w:t xml:space="preserve">a policy engine classifying assets against machine-readable rules. Neither generates the semantic</w:t>
      </w:r>
      <w:r>
        <w:t xml:space="preserve"> </w:t>
      </w:r>
      <w:r>
        <w:t xml:space="preserve">content their layers would need — a policy engine reasoning over a semantically flat CBOM inherits its</w:t>
      </w:r>
      <w:r>
        <w:t xml:space="preserve"> </w:t>
      </w:r>
      <w:r>
        <w:t xml:space="preserve">blindness, and can express "RSA is non-compliant" but not "this RSA use is urgent."</w:t>
      </w:r>
      <w:r>
        <w:t xml:space="preserve"> </w:t>
      </w:r>
      <w:r>
        <w:rPr>
          <w:bCs/>
          <w:b/>
        </w:rPr>
        <w:t xml:space="preserve">Our correction.</w:t>
      </w:r>
      <w:r>
        <w:t xml:space="preserve"> </w:t>
      </w:r>
      <w:r>
        <w:t xml:space="preserve">We treat P6 as an output contract (strict CycloneDX 1.6 conformance, so our</w:t>
      </w:r>
      <w:r>
        <w:t xml:space="preserve"> </w:t>
      </w:r>
      <w:r>
        <w:t xml:space="preserve">annotations ride in a standard artefact and any P7-style engine can consume them) and design our</w:t>
      </w:r>
      <w:r>
        <w:t xml:space="preserve"> </w:t>
      </w:r>
      <w:r>
        <w:t xml:space="preserve">retention/exposure annotations as an</w:t>
      </w:r>
      <w:r>
        <w:t xml:space="preserve"> </w:t>
      </w:r>
      <w:r>
        <w:rPr>
          <w:iCs/>
          <w:i/>
        </w:rPr>
        <w:t xml:space="preserve">extension</w:t>
      </w:r>
      <w:r>
        <w:t xml:space="preserve"> </w:t>
      </w:r>
      <w:r>
        <w:t xml:space="preserve">to it, which is also the cleanest route to adoption.</w:t>
      </w:r>
    </w:p>
    <w:p>
      <w:pPr>
        <w:pStyle w:val="BodyText"/>
      </w:pPr>
      <w:r>
        <w:rPr>
          <w:bCs/>
          <w:b/>
        </w:rPr>
        <w:t xml:space="preserve">P8, P12 — HNDL feasibility and migration-timing decision theory.</w:t>
      </w:r>
      <w:r>
        <w:t xml:space="preserve"> </w:t>
      </w:r>
      <w:r>
        <w:rPr>
          <w:iCs/>
          <w:i/>
        </w:rPr>
        <w:t xml:space="preserve">Flaw:</w:t>
      </w:r>
      <w:r>
        <w:t xml:space="preserve"> </w:t>
      </w:r>
      <w:r>
        <w:t xml:space="preserve">both reason at the level of the organisation or the data class. They establish that</w:t>
      </w:r>
      <w:r>
        <w:t xml:space="preserve"> </w:t>
      </w:r>
      <w:r>
        <w:t xml:space="preserve">prioritisation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be driven by sensitivity lifetime — P8 contrasts state secrets and genome</w:t>
      </w:r>
      <w:r>
        <w:t xml:space="preserve"> </w:t>
      </w:r>
      <w:r>
        <w:t xml:space="preserve">records against session cookies and ephemeral messaging — but provide no mechanism for determining</w:t>
      </w:r>
      <w:r>
        <w:t xml:space="preserve"> </w:t>
      </w:r>
      <w:r>
        <w:t xml:space="preserve">which class a given call site belongs to. The mapping from a line of code to a retention class is left</w:t>
      </w:r>
      <w:r>
        <w:t xml:space="preserve"> </w:t>
      </w:r>
      <w:r>
        <w:t xml:space="preserve">to a human.</w:t>
      </w:r>
      <w:r>
        <w:t xml:space="preserve"> </w:t>
      </w:r>
      <w:r>
        <w:rPr>
          <w:bCs/>
          <w:b/>
        </w:rPr>
        <w:t xml:space="preserve">Our correction.</w:t>
      </w:r>
      <w:r>
        <w:t xml:space="preserve"> </w:t>
      </w:r>
      <w:r>
        <w:t xml:space="preserve">This is precisely the mechanism we build. Our contribution can be read as the</w:t>
      </w:r>
      <w:r>
        <w:t xml:space="preserve"> </w:t>
      </w:r>
      <w:r>
        <w:t xml:space="preserve">missing automation layer beneath P8's prioritisation argument, with the retention variable</w:t>
      </w:r>
      <w:r>
        <w:t xml:space="preserve"> </w:t>
      </w:r>
      <w:r>
        <w:rPr>
          <w:iCs/>
          <w:i/>
        </w:rPr>
        <w:t xml:space="preserve">x</w:t>
      </w:r>
      <w:r>
        <w:t xml:space="preserve"> </w:t>
      </w:r>
      <w:r>
        <w:t xml:space="preserve">in</w:t>
      </w:r>
      <w:r>
        <w:t xml:space="preserve"> </w:t>
      </w:r>
      <w:r>
        <w:t xml:space="preserve">Mosca's inequality recovered from code and configuration rather than assumed.</w:t>
      </w:r>
    </w:p>
    <w:p>
      <w:pPr>
        <w:pStyle w:val="BodyText"/>
      </w:pPr>
      <w:r>
        <w:rPr>
          <w:bCs/>
          <w:b/>
        </w:rPr>
        <w:t xml:space="preserve">P9, P10 — surveys.</w:t>
      </w:r>
      <w:r>
        <w:t xml:space="preserve"> </w:t>
      </w:r>
      <w:r>
        <w:rPr>
          <w:iCs/>
          <w:i/>
        </w:rPr>
        <w:t xml:space="preserve">Flaw:</w:t>
      </w:r>
      <w:r>
        <w:t xml:space="preserve"> </w:t>
      </w:r>
      <w:r>
        <w:t xml:space="preserve">by construction they describe rather than measure, and both organise around "crypto-agility"</w:t>
      </w:r>
      <w:r>
        <w:t xml:space="preserve"> </w:t>
      </w:r>
      <w:r>
        <w:t xml:space="preserve">without an operational definition that can be computed from an artefact.</w:t>
      </w:r>
      <w:r>
        <w:t xml:space="preserve"> </w:t>
      </w:r>
      <w:r>
        <w:rPr>
          <w:bCs/>
          <w:b/>
        </w:rPr>
        <w:t xml:space="preserve">Our correction.</w:t>
      </w:r>
      <w:r>
        <w:t xml:space="preserve"> </w:t>
      </w:r>
      <w:r>
        <w:t xml:space="preserve">We supply one computable definition (the per-data-path exposure score) and evaluate</w:t>
      </w:r>
      <w:r>
        <w:t xml:space="preserve"> </w:t>
      </w:r>
      <w:r>
        <w:t xml:space="preserve">it. We use the surveys only to fix the standards baseline (ML-KEM/ML-DSA/SLH-DSA, hybrid deployment)</w:t>
      </w:r>
      <w:r>
        <w:t xml:space="preserve"> </w:t>
      </w:r>
      <w:r>
        <w:t xml:space="preserve">and avoid citing them as evidence of a gap.</w:t>
      </w:r>
    </w:p>
    <w:p>
      <w:pPr>
        <w:pStyle w:val="BodyText"/>
      </w:pPr>
      <w:r>
        <w:rPr>
          <w:bCs/>
          <w:b/>
        </w:rPr>
        <w:t xml:space="preserve">P11 — binary-level toolchain.</w:t>
      </w:r>
      <w:r>
        <w:t xml:space="preserve"> </w:t>
      </w:r>
      <w:r>
        <w:rPr>
          <w:iCs/>
          <w:i/>
        </w:rPr>
        <w:t xml:space="preserve">Flaw:</w:t>
      </w:r>
      <w:r>
        <w:t xml:space="preserve"> </w:t>
      </w:r>
      <w:r>
        <w:t xml:space="preserve">predates FIPS 203/204/205 finalisation, so its target algorithm set is stale, and binary</w:t>
      </w:r>
      <w:r>
        <w:t xml:space="preserve"> </w:t>
      </w:r>
      <w:r>
        <w:t xml:space="preserve">analysis loses the variable names, type information and configuration context that make retention</w:t>
      </w:r>
      <w:r>
        <w:t xml:space="preserve"> </w:t>
      </w:r>
      <w:r>
        <w:t xml:space="preserve">inference possible.</w:t>
      </w:r>
      <w:r>
        <w:t xml:space="preserve"> </w:t>
      </w:r>
      <w:r>
        <w:rPr>
          <w:bCs/>
          <w:b/>
        </w:rPr>
        <w:t xml:space="preserve">Our correction.</w:t>
      </w:r>
      <w:r>
        <w:t xml:space="preserve"> </w:t>
      </w:r>
      <w:r>
        <w:t xml:space="preserve">Source-level scope, stated as a deliberate trade-off: we accept that we cannot see</w:t>
      </w:r>
      <w:r>
        <w:t xml:space="preserve"> </w:t>
      </w:r>
      <w:r>
        <w:t xml:space="preserve">into vendored binaries, and gain the semantic information needed for the contribution.</w:t>
      </w:r>
    </w:p>
    <w:p>
      <w:pPr>
        <w:pStyle w:val="BodyText"/>
      </w:pPr>
      <w:r>
        <w:rPr>
          <w:bCs/>
          <w:b/>
        </w:rPr>
        <w:t xml:space="preserve">P13 — CryptoGuard.</w:t>
      </w:r>
      <w:r>
        <w:t xml:space="preserve"> </w:t>
      </w:r>
      <w:r>
        <w:rPr>
          <w:iCs/>
          <w:i/>
        </w:rPr>
        <w:t xml:space="preserve">Flaw:</w:t>
      </w:r>
      <w:r>
        <w:t xml:space="preserve"> </w:t>
      </w:r>
      <w:r>
        <w:t xml:space="preserve">targets</w:t>
      </w:r>
      <w:r>
        <w:t xml:space="preserve"> </w:t>
      </w:r>
      <w:r>
        <w:rPr>
          <w:iCs/>
          <w:i/>
        </w:rPr>
        <w:t xml:space="preserve">incorrect</w:t>
      </w:r>
      <w:r>
        <w:t xml:space="preserve"> </w:t>
      </w:r>
      <w:r>
        <w:t xml:space="preserve">API usage (ECB mode, hardcoded keys, short keys) rather than</w:t>
      </w:r>
      <w:r>
        <w:t xml:space="preserve"> </w:t>
      </w:r>
      <w:r>
        <w:t xml:space="preserve">quantum-vulnerable-but-correct usage. It has no notion of quantum threat, no scoring, and is Java-only.</w:t>
      </w:r>
      <w:r>
        <w:t xml:space="preserve"> </w:t>
      </w:r>
      <w:r>
        <w:t xml:space="preserve">Notably, P3-adjacent 2026 work reports that general-purpose LLMs now exceed CryptoGuard and CogniCrypt</w:t>
      </w:r>
      <w:r>
        <w:t xml:space="preserve"> </w:t>
      </w:r>
      <w:r>
        <w:t xml:space="preserve">on precision and recall for misuse detection.</w:t>
      </w:r>
      <w:r>
        <w:t xml:space="preserve"> </w:t>
      </w:r>
      <w:r>
        <w:rPr>
          <w:bCs/>
          <w:b/>
        </w:rPr>
        <w:t xml:space="preserve">Our correction.</w:t>
      </w:r>
      <w:r>
        <w:t xml:space="preserve"> </w:t>
      </w:r>
      <w:r>
        <w:t xml:space="preserve">We borrow its</w:t>
      </w:r>
      <w:r>
        <w:t xml:space="preserve"> </w:t>
      </w:r>
      <w:r>
        <w:rPr>
          <w:iCs/>
          <w:i/>
        </w:rPr>
        <w:t xml:space="preserve">technique</w:t>
      </w:r>
      <w:r>
        <w:t xml:space="preserve"> </w:t>
      </w:r>
      <w:r>
        <w:t xml:space="preserve">— backward inter-procedural dataflow from crypto call</w:t>
      </w:r>
      <w:r>
        <w:t xml:space="preserve"> </w:t>
      </w:r>
      <w:r>
        <w:t xml:space="preserve">sites — and repoint it at a different question. CryptoGuard asks "is this call wrong?"; we ask "what</w:t>
      </w:r>
      <w:r>
        <w:t xml:space="preserve"> </w:t>
      </w:r>
      <w:r>
        <w:t xml:space="preserve">does this call protect, and for how long?" Its existence is also our strongest feasibility argument:</w:t>
      </w:r>
      <w:r>
        <w:t xml:space="preserve"> </w:t>
      </w:r>
      <w:r>
        <w:t xml:space="preserve">scalable crypto-focused dataflow analysis was demonstrated in 2019, so the engineering risk in our core</w:t>
      </w:r>
      <w:r>
        <w:t xml:space="preserve"> </w:t>
      </w:r>
      <w:r>
        <w:t xml:space="preserve">mechanism is bounded.</w:t>
      </w:r>
    </w:p>
    <w:bookmarkEnd w:id="32"/>
    <w:bookmarkStart w:id="33" w:name="Xf855654c98127d53ec548c743821ee5204023da"/>
    <w:p>
      <w:pPr>
        <w:pStyle w:val="Heading3"/>
      </w:pPr>
      <w:r>
        <w:t xml:space="preserve">5.4 Consolidated research gap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t xml:space="preserve">P6/P7</w:t>
            </w:r>
          </w:p>
        </w:tc>
        <w:tc>
          <w:p>
            <w:pPr>
              <w:pStyle w:val="Compact"/>
              <w:jc w:val="left"/>
            </w:pPr>
            <w:r>
              <w:t xml:space="preserve">P8/P12</w:t>
            </w:r>
          </w:p>
        </w:tc>
        <w:tc>
          <w:p>
            <w:pPr>
              <w:pStyle w:val="Compact"/>
              <w:jc w:val="left"/>
            </w:pPr>
            <w:r>
              <w:t xml:space="preserve">P13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Multi-language discovery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Standard CBOM output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Dataflow to protected data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Retention lifetime inference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Call-site-varying risk score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Ranking evaluated as a metric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Context-based FP suppression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Verified migration patches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✔</w:t>
            </w:r>
          </w:p>
        </w:tc>
      </w:tr>
    </w:tbl>
    <w:p>
      <w:pPr>
        <w:pStyle w:val="BodyText"/>
      </w:pPr>
      <w:r>
        <w:rPr>
          <w:iCs/>
          <w:i/>
        </w:rPr>
        <w:t xml:space="preserve">(✔ present · ◐ partial · ✘ absent)</w:t>
      </w:r>
    </w:p>
    <w:p>
      <w:pPr>
        <w:pStyle w:val="BodyText"/>
      </w:pPr>
      <w:r>
        <w:t xml:space="preserve">The empty rows are the project.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c20c787168654b6c2dd213f234737283c9f820a"/>
    <w:p>
      <w:pPr>
        <w:pStyle w:val="Heading2"/>
      </w:pPr>
      <w:r>
        <w:t xml:space="preserve">6. Novelty of the Proposed Work</w:t>
      </w:r>
    </w:p>
    <w:p>
      <w:pPr>
        <w:pStyle w:val="FirstParagraph"/>
      </w:pPr>
      <w:r>
        <w:rPr>
          <w:bCs/>
          <w:b/>
        </w:rPr>
        <w:t xml:space="preserve">N1 — Retention-aware cryptographic dataflow binding.</w:t>
      </w:r>
      <w:r>
        <w:t xml:space="preserve"> </w:t>
      </w:r>
      <w:r>
        <w:t xml:space="preserve">We bind each cryptographic operation to a</w:t>
      </w:r>
      <w:r>
        <w:t xml:space="preserve"> </w:t>
      </w:r>
      <w:r>
        <w:t xml:space="preserve">triple: the data it protects (recovered by backward taint analysis from the primitive's plaintext</w:t>
      </w:r>
      <w:r>
        <w:t xml:space="preserve"> </w:t>
      </w:r>
      <w:r>
        <w:t xml:space="preserve">argument to its sources), that data's confidentiality lifetime (recovered by forward analysis to</w:t>
      </w:r>
      <w:r>
        <w:t xml:space="preserve"> </w:t>
      </w:r>
      <w:r>
        <w:t xml:space="preserve">persistence sinks and then from declarative retention evidence — ORM/DDL definitions, TTL constants,</w:t>
      </w:r>
      <w:r>
        <w:t xml:space="preserve"> </w:t>
      </w:r>
      <w:r>
        <w:t xml:space="preserve">object-store lifecycle rules, log-rotation policy, IaC), and its exposure surface (whether the resulting</w:t>
      </w:r>
      <w:r>
        <w:t xml:space="preserve"> </w:t>
      </w:r>
      <w:r>
        <w:t xml:space="preserve">ciphertext crosses a process, host or network boundary). No surveyed work performs this binding; P1 and</w:t>
      </w:r>
      <w:r>
        <w:t xml:space="preserve"> </w:t>
      </w:r>
      <w:r>
        <w:t xml:space="preserve">P2 confirm dataflow is absent from the current generation of tools, and P8's prioritisation argument</w:t>
      </w:r>
      <w:r>
        <w:t xml:space="preserve"> </w:t>
      </w:r>
      <w:r>
        <w:t xml:space="preserve">assumes a human supplies exactly this information.</w:t>
      </w:r>
    </w:p>
    <w:p>
      <w:pPr>
        <w:pStyle w:val="BodyText"/>
      </w:pPr>
      <w:r>
        <w:rPr>
          <w:bCs/>
          <w:b/>
        </w:rPr>
        <w:t xml:space="preserve">N2 — A risk score that varies across identical algorithms, and a metric that can evaluate it.</w:t>
      </w:r>
      <w:r>
        <w:t xml:space="preserve"> </w:t>
      </w:r>
      <w:r>
        <w:t xml:space="preserve">By</w:t>
      </w:r>
      <w:r>
        <w:t xml:space="preserve"> </w:t>
      </w:r>
      <w:r>
        <w:t xml:space="preserve">making the score a function of the data path rather than the primitive, two identical</w:t>
      </w:r>
      <w:r>
        <w:t xml:space="preserve"> </w:t>
      </w:r>
      <w:r>
        <w:rPr>
          <w:rStyle w:val="VerbatimChar"/>
        </w:rPr>
        <w:t xml:space="preserve">RSA.encrypt()</w:t>
      </w:r>
      <w:r>
        <w:t xml:space="preserve"> </w:t>
      </w:r>
      <w:r>
        <w:t xml:space="preserve">sites receive different ranks. Correspondingly we introduce</w:t>
      </w:r>
      <w:r>
        <w:t xml:space="preserve"> </w:t>
      </w:r>
      <w:r>
        <w:rPr>
          <w:iCs/>
          <w:i/>
        </w:rPr>
        <w:t xml:space="preserve">ranking quality against expert order</w:t>
      </w:r>
      <w:r>
        <w:t xml:space="preserve"> </w:t>
      </w:r>
      <w:r>
        <w:t xml:space="preserve">(nDCG@k, Kendall-τ) as the evaluation metric. This is doubly novel: no surveyed work produces an</w:t>
      </w:r>
      <w:r>
        <w:t xml:space="preserve"> </w:t>
      </w:r>
      <w:r>
        <w:t xml:space="preserve">ordering, and none evaluates one — P2 reports detection F1 for a tool whose stated purpose is</w:t>
      </w:r>
      <w:r>
        <w:t xml:space="preserve"> </w:t>
      </w:r>
      <w:r>
        <w:t xml:space="preserve">prioritisation.</w:t>
      </w:r>
    </w:p>
    <w:p>
      <w:pPr>
        <w:pStyle w:val="BodyText"/>
      </w:pPr>
      <w:r>
        <w:rPr>
          <w:bCs/>
          <w:b/>
        </w:rPr>
        <w:t xml:space="preserve">N3 — Dataflow-conditioned finding suppression.</w:t>
      </w:r>
      <w:r>
        <w:t xml:space="preserve"> </w:t>
      </w:r>
      <w:r>
        <w:t xml:space="preserve">Turning the semantic layer inward, the same context</w:t>
      </w:r>
      <w:r>
        <w:t xml:space="preserve"> </w:t>
      </w:r>
      <w:r>
        <w:t xml:space="preserve">that ranks findings also filters them: a hash whose input never derives from a credential source and</w:t>
      </w:r>
      <w:r>
        <w:t xml:space="preserve"> </w:t>
      </w:r>
      <w:r>
        <w:t xml:space="preserve">whose output never reaches an authentication or storage sink is reclassified as non-security. This</w:t>
      </w:r>
      <w:r>
        <w:t xml:space="preserve"> </w:t>
      </w:r>
      <w:r>
        <w:t xml:space="preserve">targets the specific, quantified failure P1 reports (actionable precision ≈ 0.3) with a mechanism P1</w:t>
      </w:r>
      <w:r>
        <w:t xml:space="preserve"> </w:t>
      </w:r>
      <w:r>
        <w:t xml:space="preserve">lacks, and we report it as a precision/recall trade-off curve rather than a single number.</w:t>
      </w:r>
    </w:p>
    <w:p>
      <w:pPr>
        <w:pStyle w:val="BodyText"/>
      </w:pPr>
      <w:r>
        <w:rPr>
          <w:bCs/>
          <w:b/>
        </w:rPr>
        <w:t xml:space="preserve">N4 — Differentially verified hybrid patch synthesis in realistic settings.</w:t>
      </w:r>
      <w:r>
        <w:t xml:space="preserve"> </w:t>
      </w:r>
      <w:r>
        <w:t xml:space="preserve">Patches are proposed only</w:t>
      </w:r>
      <w:r>
        <w:t xml:space="preserve"> </w:t>
      </w:r>
      <w:r>
        <w:t xml:space="preserve">after passing differential equivalence against the original implementation, property-based tests, and a</w:t>
      </w:r>
      <w:r>
        <w:t xml:space="preserve"> </w:t>
      </w:r>
      <w:r>
        <w:t xml:space="preserve">hybrid-negotiation interoperability check against an unmigrated peer. This directly strengthens P3's</w:t>
      </w:r>
      <w:r>
        <w:t xml:space="preserve"> </w:t>
      </w:r>
      <w:r>
        <w:t xml:space="preserve">round-trip-only verification and moves the setting from synthetic isolated fragments to real multi-file</w:t>
      </w:r>
      <w:r>
        <w:t xml:space="preserve"> </w:t>
      </w:r>
      <w:r>
        <w:t xml:space="preserve">repositories, where P3 states its own method degrades.</w:t>
      </w:r>
    </w:p>
    <w:p>
      <w:pPr>
        <w:pStyle w:val="BodyText"/>
      </w:pPr>
      <w:r>
        <w:rPr>
          <w:bCs/>
          <w:b/>
        </w:rPr>
        <w:t xml:space="preserve">N5 — A public retention-annotated benchmark with expert priority labels.</w:t>
      </w:r>
      <w:r>
        <w:t xml:space="preserve"> </w:t>
      </w:r>
      <w:r>
        <w:t xml:space="preserve">The reason no prior work</w:t>
      </w:r>
      <w:r>
        <w:t xml:space="preserve"> </w:t>
      </w:r>
      <w:r>
        <w:t xml:space="preserve">reports ranking quality is that no dataset supports it. Producing one is a reusable contribution</w:t>
      </w:r>
      <w:r>
        <w:t xml:space="preserve"> </w:t>
      </w:r>
      <w:r>
        <w:t xml:space="preserve">independent of whether our score wins.</w:t>
      </w:r>
    </w:p>
    <w:p>
      <w:pPr>
        <w:pStyle w:val="BodyText"/>
      </w:pPr>
      <w:r>
        <w:rPr>
          <w:bCs/>
          <w:b/>
        </w:rPr>
        <w:t xml:space="preserve">Patentability note.</w:t>
      </w:r>
      <w:r>
        <w:t xml:space="preserve"> </w:t>
      </w:r>
      <w:r>
        <w:t xml:space="preserve">Under CRI Guidelines 2025 the claimable subject matter is the</w:t>
      </w:r>
      <w:r>
        <w:t xml:space="preserve"> </w:t>
      </w:r>
      <w:r>
        <w:rPr>
          <w:iCs/>
          <w:i/>
        </w:rPr>
        <w:t xml:space="preserve">mechanism</w:t>
      </w:r>
      <w:r>
        <w:t xml:space="preserve">: a</w:t>
      </w:r>
      <w:r>
        <w:t xml:space="preserve"> </w:t>
      </w:r>
      <w:r>
        <w:t xml:space="preserve">method for ordering cryptographic remediation in which the ordering is derived from</w:t>
      </w:r>
      <w:r>
        <w:t xml:space="preserve"> </w:t>
      </w:r>
      <w:r>
        <w:t xml:space="preserve">statically-inferred protected-data lifetime and exposure surface. The technical effect is measurable —</w:t>
      </w:r>
      <w:r>
        <w:t xml:space="preserve"> </w:t>
      </w:r>
      <w:r>
        <w:t xml:space="preserve">reduction in residual HNDL exposure per unit of remediation effort, relative to algorithm-severity</w:t>
      </w:r>
      <w:r>
        <w:t xml:space="preserve"> </w:t>
      </w:r>
      <w:r>
        <w:t xml:space="preserve">ordering. Under Rule #2 of this project, the provisional application is filed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any</w:t>
      </w:r>
      <w:r>
        <w:t xml:space="preserve"> </w:t>
      </w:r>
      <w:r>
        <w:t xml:space="preserve">publication or preprint, since a pre-filing disclosure destroys novelty in India.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5"/>
    <w:bookmarkStart w:id="44" w:name="Xa8c5dfaaecc5de6007df5544d5bac5ed3383453"/>
    <w:p>
      <w:pPr>
        <w:pStyle w:val="Heading2"/>
      </w:pPr>
      <w:r>
        <w:t xml:space="preserve">7. Proposed Methodology</w:t>
      </w:r>
    </w:p>
    <w:bookmarkStart w:id="36" w:name="Xf8b33feb4ed3eebf3836930639ea3cf2e4a3f4c"/>
    <w:p>
      <w:pPr>
        <w:pStyle w:val="Heading3"/>
      </w:pPr>
      <w:r>
        <w:t xml:space="preserve">7.1 Architecture</w:t>
      </w:r>
    </w:p>
    <w:p>
      <w:pPr>
        <w:pStyle w:val="SourceCode"/>
      </w:pPr>
      <w:r>
        <w:rPr>
          <w:rStyle w:val="VerbatimChar"/>
        </w:rPr>
        <w:t xml:space="preserve">   repository + config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┌────────▼─────────┐</w:t>
      </w:r>
      <w:r>
        <w:br/>
      </w:r>
      <w:r>
        <w:rPr>
          <w:rStyle w:val="VerbatimChar"/>
        </w:rPr>
        <w:t xml:space="preserve">   │ 1. Discovery     │  tree-sitter parse · Semgrep/Crypistry-style rules</w:t>
      </w:r>
      <w:r>
        <w:br/>
      </w:r>
      <w:r>
        <w:rPr>
          <w:rStyle w:val="VerbatimChar"/>
        </w:rPr>
        <w:t xml:space="preserve">   │                  │  → crypto asset candidates (CycloneDX 1.6)</w:t>
      </w:r>
      <w:r>
        <w:br/>
      </w:r>
      <w:r>
        <w:rPr>
          <w:rStyle w:val="VerbatimChar"/>
        </w:rPr>
        <w:t xml:space="preserve">   └────────┬─────────┘</w:t>
      </w:r>
      <w:r>
        <w:br/>
      </w:r>
      <w:r>
        <w:rPr>
          <w:rStyle w:val="VerbatimChar"/>
        </w:rPr>
        <w:t xml:space="preserve">   ┌────────▼─────────┐</w:t>
      </w:r>
      <w:r>
        <w:br/>
      </w:r>
      <w:r>
        <w:rPr>
          <w:rStyle w:val="VerbatimChar"/>
        </w:rPr>
        <w:t xml:space="preserve">   │ 2. Semantic bind │  backward taint: primitive ← plaintext ← source</w:t>
      </w:r>
      <w:r>
        <w:br/>
      </w:r>
      <w:r>
        <w:rPr>
          <w:rStyle w:val="VerbatimChar"/>
        </w:rPr>
        <w:t xml:space="preserve">   │    (core, N1)    │  forward taint: ciphertext → persistence / network sink</w:t>
      </w:r>
      <w:r>
        <w:br/>
      </w:r>
      <w:r>
        <w:rPr>
          <w:rStyle w:val="VerbatimChar"/>
        </w:rPr>
        <w:t xml:space="preserve">   │                  │  retention evidence extraction from DDL/ORM/IaC/TTL</w:t>
      </w:r>
      <w:r>
        <w:br/>
      </w:r>
      <w:r>
        <w:rPr>
          <w:rStyle w:val="VerbatimChar"/>
        </w:rPr>
        <w:t xml:space="preserve">   └────────┬─────────┘</w:t>
      </w:r>
      <w:r>
        <w:br/>
      </w:r>
      <w:r>
        <w:rPr>
          <w:rStyle w:val="VerbatimChar"/>
        </w:rPr>
        <w:t xml:space="preserve">   ┌────────▼─────────┐</w:t>
      </w:r>
      <w:r>
        <w:br/>
      </w:r>
      <w:r>
        <w:rPr>
          <w:rStyle w:val="VerbatimChar"/>
        </w:rPr>
        <w:t xml:space="preserve">   │ 3. Score &amp; rank  │  HNDL Exposure Score per data path (N2)</w:t>
      </w:r>
      <w:r>
        <w:br/>
      </w:r>
      <w:r>
        <w:rPr>
          <w:rStyle w:val="VerbatimChar"/>
        </w:rPr>
        <w:t xml:space="preserve">   │    + suppress    │  context-based reclassification (N3)</w:t>
      </w:r>
      <w:r>
        <w:br/>
      </w:r>
      <w:r>
        <w:rPr>
          <w:rStyle w:val="VerbatimChar"/>
        </w:rPr>
        <w:t xml:space="preserve">   └────────┬─────────┘</w:t>
      </w:r>
      <w:r>
        <w:br/>
      </w:r>
      <w:r>
        <w:rPr>
          <w:rStyle w:val="VerbatimChar"/>
        </w:rPr>
        <w:t xml:space="preserve">   ┌────────▼─────────┐</w:t>
      </w:r>
      <w:r>
        <w:br/>
      </w:r>
      <w:r>
        <w:rPr>
          <w:rStyle w:val="VerbatimChar"/>
        </w:rPr>
        <w:t xml:space="preserve">   │ 4. Patch + verify│  liboqs hybrid X25519+ML-KEM · differential testing (N4)</w:t>
      </w:r>
      <w:r>
        <w:br/>
      </w:r>
      <w:r>
        <w:rPr>
          <w:rStyle w:val="VerbatimChar"/>
        </w:rPr>
        <w:t xml:space="preserve">   └────────┬─────────┘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enriched CBOM · ranked migration plan · verified pull requests</w:t>
      </w:r>
    </w:p>
    <w:bookmarkEnd w:id="36"/>
    <w:bookmarkStart w:id="37" w:name="Xbdf9cf732d98792c81eb56adafeafb30e0ae8b0"/>
    <w:p>
      <w:pPr>
        <w:pStyle w:val="Heading3"/>
      </w:pPr>
      <w:r>
        <w:t xml:space="preserve">7.2 Stage 1 — Discovery</w:t>
      </w:r>
    </w:p>
    <w:p>
      <w:pPr>
        <w:pStyle w:val="FirstParagraph"/>
      </w:pPr>
      <w:r>
        <w:t xml:space="preserve">Per-language tree-sitter grammars produce ASTs; a rule corpus (extending open Semgrep and</w:t>
      </w:r>
      <w:r>
        <w:t xml:space="preserve"> </w:t>
      </w:r>
      <w:r>
        <w:t xml:space="preserve">Crypistry-style rules, with attribution) identifies cryptographic material, artefacts and invocations.</w:t>
      </w:r>
      <w:r>
        <w:t xml:space="preserve"> </w:t>
      </w:r>
      <w:r>
        <w:t xml:space="preserve">Constant propagation and local type inference resolve algorithm identifiers passed as variables —</w:t>
      </w:r>
      <w:r>
        <w:t xml:space="preserve"> </w:t>
      </w:r>
      <w:r>
        <w:t xml:space="preserve">directly targeting P1's stated inability to "resolve arguments computed at runtime." Output conforms to</w:t>
      </w:r>
      <w:r>
        <w:t xml:space="preserve"> </w:t>
      </w:r>
      <w:r>
        <w:t xml:space="preserve">the CycloneDX 1.6 CBOM object model [P6].</w:t>
      </w:r>
    </w:p>
    <w:bookmarkEnd w:id="37"/>
    <w:bookmarkStart w:id="38" w:name="Xe4c8b687f625b5020fecbe1da6184881e79408d"/>
    <w:p>
      <w:pPr>
        <w:pStyle w:val="Heading3"/>
      </w:pPr>
      <w:r>
        <w:t xml:space="preserve">7.3 Stage 2 — Semantic binding</w:t>
      </w:r>
      <w:r>
        <w:t xml:space="preserve"> </w:t>
      </w:r>
      <w:r>
        <w:rPr>
          <w:iCs/>
          <w:i/>
        </w:rPr>
        <w:t xml:space="preserve">(the contribution)</w:t>
      </w:r>
    </w:p>
    <w:p>
      <w:pPr>
        <w:pStyle w:val="FirstParagraph"/>
      </w:pPr>
      <w:r>
        <w:t xml:space="preserve">Built on an inter-procedural dataflow framework (CodeQL for Java, a custom pass plus type stubs for</w:t>
      </w:r>
      <w:r>
        <w:t xml:space="preserve"> </w:t>
      </w:r>
      <w:r>
        <w:t xml:space="preserve">Python; the technique follows CryptoGuard's backward-analysis design [P13]).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Backward pass.</w:t>
      </w:r>
      <w:r>
        <w:t xml:space="preserve"> </w:t>
      </w:r>
      <w:r>
        <w:t xml:space="preserve">From each primitive's plaintext/key parameter, trace to sources. Sources are</w:t>
      </w:r>
      <w:r>
        <w:t xml:space="preserve"> </w:t>
      </w:r>
      <w:r>
        <w:t xml:space="preserve">classified: request parameter, form field, file read, database read, environment/secret store,</w:t>
      </w:r>
      <w:r>
        <w:t xml:space="preserve"> </w:t>
      </w:r>
      <w:r>
        <w:t xml:space="preserve">computed digest, constant.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Forward pass.</w:t>
      </w:r>
      <w:r>
        <w:t xml:space="preserve"> </w:t>
      </w:r>
      <w:r>
        <w:t xml:space="preserve">From the primitive's output, trace to sinks: network write, filesystem write,</w:t>
      </w:r>
      <w:r>
        <w:t xml:space="preserve"> </w:t>
      </w:r>
      <w:r>
        <w:t xml:space="preserve">database column, object store, log, in-memory cache, response body.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Retention evidence extraction.</w:t>
      </w:r>
      <w:r>
        <w:t xml:space="preserve"> </w:t>
      </w:r>
      <w:r>
        <w:t xml:space="preserve">For each persistence sink, resolve retention from the nearest</w:t>
      </w:r>
      <w:r>
        <w:t xml:space="preserve"> </w:t>
      </w:r>
      <w:r>
        <w:t xml:space="preserve">machine-readable declaration: column type and adjacent</w:t>
      </w:r>
      <w:r>
        <w:t xml:space="preserve"> </w:t>
      </w:r>
      <w:r>
        <w:rPr>
          <w:rStyle w:val="VerbatimChar"/>
        </w:rPr>
        <w:t xml:space="preserve">*_at</w:t>
      </w:r>
      <w:r>
        <w:t xml:space="preserve">/</w:t>
      </w:r>
      <w:r>
        <w:rPr>
          <w:rStyle w:val="VerbatimChar"/>
        </w:rPr>
        <w:t xml:space="preserve">expires</w:t>
      </w:r>
      <w:r>
        <w:t xml:space="preserve"> </w:t>
      </w:r>
      <w:r>
        <w:t xml:space="preserve">fields, migration files,</w:t>
      </w:r>
      <w:r>
        <w:t xml:space="preserve"> </w:t>
      </w:r>
      <w:r>
        <w:t xml:space="preserve">Redis/Memcached TTLs, S3/GCS lifecycle rules, Kubernetes/Terraform retention settings, log-rotation</w:t>
      </w:r>
      <w:r>
        <w:t xml:space="preserve"> </w:t>
      </w:r>
      <w:r>
        <w:t xml:space="preserve">config, and named constants matching retention idioms. Unresolved sinks fall back to a conservative</w:t>
      </w:r>
      <w:r>
        <w:t xml:space="preserve"> </w:t>
      </w:r>
      <w:r>
        <w:t xml:space="preserve">class prior derived from the sink type, and are flagged as inferred rather than observed — the</w:t>
      </w:r>
      <w:r>
        <w:t xml:space="preserve"> </w:t>
      </w:r>
      <w:r>
        <w:t xml:space="preserve">provenance distinction matters for the ranking evaluation.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Exposure classification.</w:t>
      </w:r>
      <w:r>
        <w:t xml:space="preserve"> </w:t>
      </w:r>
      <w:r>
        <w:t xml:space="preserve">Ciphertext crossing a network boundary &gt; crossing a host boundary &gt;</w:t>
      </w:r>
      <w:r>
        <w:t xml:space="preserve"> </w:t>
      </w:r>
      <w:r>
        <w:t xml:space="preserve">crossing a process boundary &gt; remaining in-process.</w:t>
      </w:r>
    </w:p>
    <w:p>
      <w:pPr>
        <w:pStyle w:val="FirstParagraph"/>
      </w:pPr>
      <w:r>
        <w:rPr>
          <w:bCs/>
          <w:b/>
        </w:rPr>
        <w:t xml:space="preserve">Realism control.</w:t>
      </w:r>
      <w:r>
        <w:t xml:space="preserve"> </w:t>
      </w:r>
      <w:r>
        <w:t xml:space="preserve">We expect substantial unresolved binding, particularly in dynamically typed</w:t>
      </w:r>
      <w:r>
        <w:t xml:space="preserve"> </w:t>
      </w:r>
      <w:r>
        <w:t xml:space="preserve">Python. Target coverage is 70% (O2), not 100%, and unresolved sites are reported in an explicit</w:t>
      </w:r>
      <w:r>
        <w:t xml:space="preserve"> </w:t>
      </w:r>
      <w:r>
        <w:t xml:space="preserve">"insufficient context" bucket rather than silently defaulted. A tool that admits what it cannot see is</w:t>
      </w:r>
      <w:r>
        <w:t xml:space="preserve"> </w:t>
      </w:r>
      <w:r>
        <w:t xml:space="preserve">usable; one that guesses silently is not.</w:t>
      </w:r>
    </w:p>
    <w:bookmarkEnd w:id="38"/>
    <w:bookmarkStart w:id="39" w:name="Xcbf05429fd36002bb587fc38ed842b46912f1f5"/>
    <w:p>
      <w:pPr>
        <w:pStyle w:val="Heading3"/>
      </w:pPr>
      <w:r>
        <w:t xml:space="preserve">7.4 Stage 3 — HNDL Exposure Score and ranking</w:t>
      </w:r>
    </w:p>
    <w:p>
      <w:pPr>
        <w:pStyle w:val="FirstParagraph"/>
      </w:pPr>
      <w:r>
        <w:t xml:space="preserve">For each data path</w:t>
      </w:r>
      <w:r>
        <w:t xml:space="preserve"> </w:t>
      </w:r>
      <w:r>
        <w:rPr>
          <w:iCs/>
          <w:i/>
        </w:rPr>
        <w:t xml:space="preserve">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Exposure(p) = w_r · R(p) × w_e · E(p) × w_a · A(p) × w_k · K(p)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is normalised retention lifetime (from Stage 2, with observed evidence weighted above</w:t>
      </w:r>
      <w:r>
        <w:t xml:space="preserve"> </w:t>
      </w:r>
      <w:r>
        <w:t xml:space="preserve">inferred),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exposure surface,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algorithm quantum-vulnerability class (Shor-broken ≫</w:t>
      </w:r>
      <w:r>
        <w:t xml:space="preserve"> </w:t>
      </w:r>
      <w:r>
        <w:t xml:space="preserve">Grover-weakened; here we reuse the published qubit-cost reasoning that P2 encodes, without the quantum</w:t>
      </w:r>
      <w:r>
        <w:t xml:space="preserve"> </w:t>
      </w:r>
      <w:r>
        <w:t xml:space="preserve">circuit), and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a key-reuse/blast-radius factor (how many paths share the key material — recoverable</w:t>
      </w:r>
      <w:r>
        <w:t xml:space="preserve"> </w:t>
      </w:r>
      <w:r>
        <w:t xml:space="preserve">because Stage 2 already tracks key provenance).</w:t>
      </w:r>
    </w:p>
    <w:p>
      <w:pPr>
        <w:pStyle w:val="BodyText"/>
      </w:pPr>
      <w:r>
        <w:t xml:space="preserve">The functional form is justified against Mosca's inequality [P8]: a path is</w:t>
      </w:r>
      <w:r>
        <w:t xml:space="preserve"> </w:t>
      </w:r>
      <w:r>
        <w:rPr>
          <w:iCs/>
          <w:i/>
        </w:rPr>
        <w:t xml:space="preserve">already breached</w:t>
      </w:r>
      <w:r>
        <w:t xml:space="preserve"> </w:t>
      </w:r>
      <w:r>
        <w:t xml:space="preserve">when</w:t>
      </w:r>
      <w:r>
        <w:t xml:space="preserve"> </w:t>
      </w:r>
      <w:r>
        <w:t xml:space="preserve">retention + expected migration time exceeds the CRQC horizon, and the score orders paths by how far</w:t>
      </w:r>
      <w:r>
        <w:t xml:space="preserve"> </w:t>
      </w:r>
      <w:r>
        <w:t xml:space="preserve">past that threshold they sit. Weights are calibrated on a training split of expert labels — deliberately</w:t>
      </w:r>
      <w:r>
        <w:t xml:space="preserve"> </w:t>
      </w:r>
      <w:r>
        <w:t xml:space="preserve">unlike CARS' Delphi elicitation [P5], because we want weights fitted to a target we can then measure</w:t>
      </w:r>
      <w:r>
        <w:t xml:space="preserve"> </w:t>
      </w:r>
      <w:r>
        <w:t xml:space="preserve">on held-out data. Sensitivity analysis over</w:t>
      </w:r>
      <w:r>
        <w:t xml:space="preserve"> </w:t>
      </w:r>
      <w:r>
        <w:rPr>
          <w:iCs/>
          <w:i/>
        </w:rPr>
        <w:t xml:space="preserve">w</w:t>
      </w:r>
      <w:r>
        <w:t xml:space="preserve"> </w:t>
      </w:r>
      <w:r>
        <w:t xml:space="preserve">is reported; if ranking quality is insensitive to the</w:t>
      </w:r>
      <w:r>
        <w:t xml:space="preserve"> </w:t>
      </w:r>
      <w:r>
        <w:t xml:space="preserve">weights, that is itself a useful finding.</w:t>
      </w:r>
    </w:p>
    <w:p>
      <w:pPr>
        <w:pStyle w:val="BodyText"/>
      </w:pPr>
      <w:r>
        <w:t xml:space="preserve">Ties are broken by remediation cost estimate (number of call sites sharing the fix), yielding a plan</w:t>
      </w:r>
      <w:r>
        <w:t xml:space="preserve"> </w:t>
      </w:r>
      <w:r>
        <w:t xml:space="preserve">ordered by risk reduction per unit of effort rather than risk alone.</w:t>
      </w:r>
    </w:p>
    <w:p>
      <w:pPr>
        <w:pStyle w:val="BodyText"/>
      </w:pPr>
      <w:r>
        <w:rPr>
          <w:bCs/>
          <w:b/>
        </w:rPr>
        <w:t xml:space="preserve">Suppression (N3).</w:t>
      </w:r>
      <w:r>
        <w:t xml:space="preserve"> </w:t>
      </w:r>
      <w:r>
        <w:t xml:space="preserve">A finding is reclassified non-security when neither its sources nor its sinks are</w:t>
      </w:r>
      <w:r>
        <w:t xml:space="preserve"> </w:t>
      </w:r>
      <w:r>
        <w:t xml:space="preserve">security-relevant. Reported as a curve over the suppression threshold, so a security team can choose</w:t>
      </w:r>
      <w:r>
        <w:t xml:space="preserve"> </w:t>
      </w:r>
      <w:r>
        <w:t xml:space="preserve">its own operating point.</w:t>
      </w:r>
    </w:p>
    <w:bookmarkEnd w:id="39"/>
    <w:bookmarkStart w:id="40" w:name="X91abf32720b2b9b9d9341ee174c8dbd256ac7d5"/>
    <w:p>
      <w:pPr>
        <w:pStyle w:val="Heading3"/>
      </w:pPr>
      <w:r>
        <w:t xml:space="preserve">7.5 Stage 4 — Patch synthesis and differential verification</w:t>
      </w:r>
    </w:p>
    <w:p>
      <w:pPr>
        <w:pStyle w:val="FirstParagraph"/>
      </w:pPr>
      <w:r>
        <w:t xml:space="preserve">Templates per migration class (TLS configuration, KEM handshake, signature scheme, envelope encryption)</w:t>
      </w:r>
      <w:r>
        <w:t xml:space="preserve"> </w:t>
      </w:r>
      <w:r>
        <w:t xml:space="preserve">instantiated with liboqs hybrid constructions (X25519 + ML-KEM for key establishment; ML-DSA for</w:t>
      </w:r>
      <w:r>
        <w:t xml:space="preserve"> </w:t>
      </w:r>
      <w:r>
        <w:t xml:space="preserve">signatures with size implications reported). An LLM is used only for</w:t>
      </w:r>
      <w:r>
        <w:t xml:space="preserve"> </w:t>
      </w:r>
      <w:r>
        <w:rPr>
          <w:iCs/>
          <w:i/>
        </w:rPr>
        <w:t xml:space="preserve">localisation and adaptation</w:t>
      </w:r>
      <w:r>
        <w:t xml:space="preserve"> </w:t>
      </w:r>
      <w:r>
        <w:t xml:space="preserve">to</w:t>
      </w:r>
      <w:r>
        <w:t xml:space="preserve"> </w:t>
      </w:r>
      <w:r>
        <w:t xml:space="preserve">the surrounding code, with the template constraining the cryptographic content — the inverse of P3's</w:t>
      </w:r>
      <w:r>
        <w:t xml:space="preserve"> </w:t>
      </w:r>
      <w:r>
        <w:t xml:space="preserve">setup, in which the model chooses the cryptography.</w:t>
      </w:r>
    </w:p>
    <w:p>
      <w:pPr>
        <w:pStyle w:val="BodyText"/>
      </w:pPr>
      <w:r>
        <w:t xml:space="preserve">Verification gate, all three required before a patch is proposed: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Differential equivalence</w:t>
      </w:r>
      <w:r>
        <w:t xml:space="preserve"> </w:t>
      </w:r>
      <w:r>
        <w:t xml:space="preserve">— original and patched implementations exercised on the same inputs;</w:t>
      </w:r>
      <w:r>
        <w:t xml:space="preserve"> </w:t>
      </w:r>
      <w:r>
        <w:t xml:space="preserve">observable behaviour (plaintext recovered, signature validity, error classes) must match.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Property tests</w:t>
      </w:r>
      <w:r>
        <w:t xml:space="preserve"> </w:t>
      </w:r>
      <w:r>
        <w:t xml:space="preserve">— round-trip, tamper-detection, wrong-key rejection, parameter-downgrade</w:t>
      </w:r>
      <w:r>
        <w:t xml:space="preserve"> </w:t>
      </w:r>
      <w:r>
        <w:t xml:space="preserve">detection. Explicitly including the checks a round-trip test alone cannot catch (P3, Flaw 2).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Interoperability</w:t>
      </w:r>
      <w:r>
        <w:t xml:space="preserve"> </w:t>
      </w:r>
      <w:r>
        <w:t xml:space="preserve">— the patched peer must negotiate successfully with an unmigrated peer under</w:t>
      </w:r>
      <w:r>
        <w:t xml:space="preserve"> </w:t>
      </w:r>
      <w:r>
        <w:t xml:space="preserve">hybrid mode, and must</w:t>
      </w:r>
      <w:r>
        <w:t xml:space="preserve"> </w:t>
      </w:r>
      <w:r>
        <w:rPr>
          <w:iCs/>
          <w:i/>
        </w:rPr>
        <w:t xml:space="preserve">fail closed</w:t>
      </w:r>
      <w:r>
        <w:t xml:space="preserve"> </w:t>
      </w:r>
      <w:r>
        <w:t xml:space="preserve">against a downgrade attempt.</w:t>
      </w:r>
    </w:p>
    <w:bookmarkEnd w:id="40"/>
    <w:bookmarkStart w:id="41" w:name="Xf8472a0e89a97a899315238af53360f61b094c2"/>
    <w:p>
      <w:pPr>
        <w:pStyle w:val="Heading3"/>
      </w:pPr>
      <w:r>
        <w:t xml:space="preserve">7.6 Evaluation plan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Research question</w:t>
            </w:r>
          </w:p>
        </w:tc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Baseline / 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 we discover cryptographic assets as well as the state of the art?</w:t>
            </w:r>
          </w:p>
        </w:tc>
        <w:tc>
          <w:p>
            <w:pPr>
              <w:pStyle w:val="Compact"/>
              <w:jc w:val="left"/>
            </w:pPr>
            <w:r>
              <w:t xml:space="preserve">Precision / recall / F1 on our labelled benchmark</w:t>
            </w:r>
          </w:p>
        </w:tc>
        <w:tc>
          <w:p>
            <w:pPr>
              <w:pStyle w:val="Compact"/>
              <w:jc w:val="left"/>
            </w:pPr>
            <w:r>
              <w:t xml:space="preserve">Crypsy 0.75 overall, 0.92 Go [P1]; CBOMkit 0.66; target ≥ 0.85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Does the semantic layer make findings actionable?</w:t>
            </w:r>
          </w:p>
        </w:tc>
        <w:tc>
          <w:p>
            <w:pPr>
              <w:pStyle w:val="Compact"/>
              <w:jc w:val="left"/>
            </w:pPr>
            <w:r>
              <w:t xml:space="preserve">Actionable-finding precision</w:t>
            </w:r>
          </w:p>
        </w:tc>
        <w:tc>
          <w:p>
            <w:pPr>
              <w:pStyle w:val="Compact"/>
              <w:jc w:val="left"/>
            </w:pPr>
            <w:r>
              <w:t xml:space="preserve">≈ 0.30 reported [P1]; target ≥ 0.70 at ≤ 5 pt recall loss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Does the score order call sites correctly?</w:t>
            </w:r>
          </w:p>
        </w:tc>
        <w:tc>
          <w:p>
            <w:pPr>
              <w:pStyle w:val="Compact"/>
              <w:jc w:val="left"/>
            </w:pPr>
            <w:r>
              <w:t xml:space="preserve">nDCG@10/@20, Kendall-τ, Spearman ρ vs expert order</w:t>
            </w:r>
          </w:p>
        </w:tc>
        <w:tc>
          <w:p>
            <w:pPr>
              <w:pStyle w:val="Compact"/>
              <w:jc w:val="left"/>
            </w:pPr>
            <w:r>
              <w:t xml:space="preserve">Algorithm-severity ordering [P2]; random ordering; CVSS-style ordering. Target nDCG@20 ≥ 0.80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 retention inference reliable?</w:t>
            </w:r>
          </w:p>
        </w:tc>
        <w:tc>
          <w:p>
            <w:pPr>
              <w:pStyle w:val="Compact"/>
              <w:jc w:val="left"/>
            </w:pPr>
            <w:r>
              <w:t xml:space="preserve">Coverage; accuracy against manual annotation</w:t>
            </w:r>
          </w:p>
        </w:tc>
        <w:tc>
          <w:p>
            <w:pPr>
              <w:pStyle w:val="Compact"/>
              <w:jc w:val="left"/>
            </w:pPr>
            <w:r>
              <w:t xml:space="preserve">≥ 70% coverage, ≥ 80% accuracy on covered sites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Are patches correct?</w:t>
            </w:r>
          </w:p>
        </w:tc>
        <w:tc>
          <w:p>
            <w:pPr>
              <w:pStyle w:val="Compact"/>
              <w:jc w:val="left"/>
            </w:pPr>
            <w:r>
              <w:t xml:space="preserve">Differential + property + interop pass rate</w:t>
            </w:r>
          </w:p>
        </w:tc>
        <w:tc>
          <w:p>
            <w:pPr>
              <w:pStyle w:val="Compact"/>
              <w:jc w:val="left"/>
            </w:pPr>
            <w:r>
              <w:t xml:space="preserve">P3's 92.5% synthetic single-fragment rate as reference upper bound; target ≥ 80% on real repositories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Does it scale?</w:t>
            </w:r>
          </w:p>
        </w:tc>
        <w:tc>
          <w:p>
            <w:pPr>
              <w:pStyle w:val="Compact"/>
              <w:jc w:val="left"/>
            </w:pPr>
            <w:r>
              <w:t xml:space="preserve">Wall-clock on a 50k-file repository</w:t>
            </w:r>
          </w:p>
        </w:tc>
        <w:tc>
          <w:p>
            <w:pPr>
              <w:pStyle w:val="Compact"/>
              <w:jc w:val="left"/>
            </w:pPr>
            <w:r>
              <w:t xml:space="preserve">Crypsy: 57,610 files in &lt; 6 min [P1]</w:t>
            </w:r>
          </w:p>
        </w:tc>
      </w:tr>
    </w:tbl>
    <w:p>
      <w:pPr>
        <w:pStyle w:val="BodyText"/>
      </w:pPr>
      <w:r>
        <w:rPr>
          <w:bCs/>
          <w:b/>
        </w:rPr>
        <w:t xml:space="preserve">Benchmark construction.</w:t>
      </w:r>
      <w:r>
        <w:t xml:space="preserve"> </w:t>
      </w:r>
      <w:r>
        <w:t xml:space="preserve">15–20 real open-source repositories (payments, healthcare, identity,</w:t>
      </w:r>
      <w:r>
        <w:t xml:space="preserve"> </w:t>
      </w:r>
      <w:r>
        <w:t xml:space="preserve">messaging domains, chosen for genuine retention diversity), each annotated for (a) ground-truth crypto</w:t>
      </w:r>
      <w:r>
        <w:t xml:space="preserve"> </w:t>
      </w:r>
      <w:r>
        <w:t xml:space="preserve">assets, (b) protected-data class and retention, (c) an expert priority ordering of the top 20 findings.</w:t>
      </w:r>
      <w:r>
        <w:t xml:space="preserve"> </w:t>
      </w:r>
      <w:r>
        <w:t xml:space="preserve">Two annotators plus adjudication; inter-annotator agreement reported (Krippendorff's α). This artefact</w:t>
      </w:r>
      <w:r>
        <w:t xml:space="preserve"> </w:t>
      </w:r>
      <w:r>
        <w:t xml:space="preserve">is O6 and answers the question no prior paper can.</w:t>
      </w:r>
    </w:p>
    <w:bookmarkEnd w:id="41"/>
    <w:bookmarkStart w:id="42" w:name="Xda3952b940a6984c806c24c78d45036a4c9d210"/>
    <w:p>
      <w:pPr>
        <w:pStyle w:val="Heading3"/>
      </w:pPr>
      <w:r>
        <w:t xml:space="preserve">7.7 Tooling and work split</w:t>
      </w:r>
    </w:p>
    <w:p>
      <w:pPr>
        <w:pStyle w:val="FirstParagraph"/>
      </w:pPr>
      <w:r>
        <w:t xml:space="preserve">Python + tree-sitter, Semgrep, CodeQL, liboqs / liboqs-python, CycloneDX 1.6 libraries, GitHub Actions.</w:t>
      </w:r>
      <w:r>
        <w:t xml:space="preserve"> </w:t>
      </w:r>
      <w:r>
        <w:t xml:space="preserve">No GPU, no quantum hardware, no paid API required for the core pipeline.</w:t>
      </w:r>
    </w:p>
    <w:p>
      <w:pPr>
        <w:pStyle w:val="BodyText"/>
      </w:pPr>
      <w:r>
        <w:t xml:space="preserve">Three-way split:</w:t>
      </w:r>
      <w:r>
        <w:t xml:space="preserve"> </w:t>
      </w:r>
      <w:r>
        <w:rPr>
          <w:bCs/>
          <w:b/>
        </w:rPr>
        <w:t xml:space="preserve">(A)</w:t>
      </w:r>
      <w:r>
        <w:t xml:space="preserve"> </w:t>
      </w:r>
      <w:r>
        <w:t xml:space="preserve">discovery layer + rule corpus + CBOM conformance;</w:t>
      </w:r>
      <w:r>
        <w:t xml:space="preserve"> </w:t>
      </w:r>
      <w:r>
        <w:rPr>
          <w:bCs/>
          <w:b/>
        </w:rPr>
        <w:t xml:space="preserve">(B)</w:t>
      </w:r>
      <w:r>
        <w:t xml:space="preserve"> </w:t>
      </w:r>
      <w:r>
        <w:t xml:space="preserve">dataflow and</w:t>
      </w:r>
      <w:r>
        <w:t xml:space="preserve"> </w:t>
      </w:r>
      <w:r>
        <w:t xml:space="preserve">retention inference (the deepest component);</w:t>
      </w:r>
      <w:r>
        <w:t xml:space="preserve"> </w:t>
      </w:r>
      <w:r>
        <w:rPr>
          <w:bCs/>
          <w:b/>
        </w:rPr>
        <w:t xml:space="preserve">(C)</w:t>
      </w:r>
      <w:r>
        <w:t xml:space="preserve"> </w:t>
      </w:r>
      <w:r>
        <w:t xml:space="preserve">scoring, ranking evaluation, benchmark</w:t>
      </w:r>
      <w:r>
        <w:t xml:space="preserve"> </w:t>
      </w:r>
      <w:r>
        <w:t xml:space="preserve">construction and patch verification harness. Each part is independently reportable if another slips.</w:t>
      </w:r>
    </w:p>
    <w:bookmarkEnd w:id="42"/>
    <w:bookmarkStart w:id="43" w:name="X394dabf7f60e53f82241101402dc196a2b0050d"/>
    <w:p>
      <w:pPr>
        <w:pStyle w:val="Heading3"/>
      </w:pPr>
      <w:r>
        <w:t xml:space="preserve">7.8 Indicative timeline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Months</w:t>
            </w:r>
          </w:p>
        </w:tc>
        <w:tc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p>
            <w:pPr>
              <w:pStyle w:val="Compact"/>
              <w:jc w:val="left"/>
            </w:pPr>
            <w:r>
              <w:t xml:space="preserve">Literature lock; benchmark repository selection; annotation protocol; discovery layer for Python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p>
            <w:pPr>
              <w:pStyle w:val="Compact"/>
              <w:jc w:val="left"/>
            </w:pPr>
            <w:r>
              <w:t xml:space="preserve">Java discovery; CycloneDX 1.6 conformance;</w:t>
            </w:r>
            <w:r>
              <w:t xml:space="preserve"> </w:t>
            </w:r>
            <w:r>
              <w:rPr>
                <w:bCs/>
                <w:b/>
              </w:rPr>
              <w:t xml:space="preserve">baseline replication</w:t>
            </w:r>
            <w:r>
              <w:t xml:space="preserve"> </w:t>
            </w:r>
            <w:r>
              <w:t xml:space="preserve">of Crypsy/CBOMkit numbers on our benchmark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5–7</w:t>
            </w:r>
          </w:p>
        </w:tc>
        <w:tc>
          <w:p>
            <w:pPr>
              <w:pStyle w:val="Compact"/>
              <w:jc w:val="left"/>
            </w:pPr>
            <w:r>
              <w:t xml:space="preserve">Dataflow binding + retention inference; annotation of the benchmark (expert labelling)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Scoring, ranking evaluation, suppression curves —</w:t>
            </w:r>
            <w:r>
              <w:t xml:space="preserve"> </w:t>
            </w:r>
            <w:r>
              <w:rPr>
                <w:bCs/>
                <w:b/>
              </w:rPr>
              <w:t xml:space="preserve">primary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Patch synthesis + verification 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Provisional patent filing</w:t>
            </w:r>
            <w:r>
              <w:t xml:space="preserve"> </w:t>
            </w:r>
            <w:r>
              <w:t xml:space="preserve">(before any disclosure)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11–12</w:t>
            </w:r>
          </w:p>
        </w:tc>
        <w:tc>
          <w:p>
            <w:pPr>
              <w:pStyle w:val="Compact"/>
              <w:jc w:val="left"/>
            </w:pPr>
            <w:r>
              <w:t xml:space="preserve">Ablations, scale tests, paper, artefact release, demonstration</w:t>
            </w:r>
          </w:p>
        </w:tc>
      </w:tr>
    </w:tbl>
    <w:p>
      <w:pPr>
        <w:pStyle w:val="BodyText"/>
      </w:pPr>
      <w:r>
        <w:t xml:space="preserve">Month 8 is the gate: if ranking quality is achieved, the paper exists. Everything after is</w:t>
      </w:r>
      <w:r>
        <w:t xml:space="preserve"> </w:t>
      </w:r>
      <w:r>
        <w:t xml:space="preserve">strengthening.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3"/>
    <w:bookmarkEnd w:id="44"/>
    <w:bookmarkStart w:id="49" w:name="Xcff3a53b383d5a734ed4ada1d60e359b625f2a9"/>
    <w:p>
      <w:pPr>
        <w:pStyle w:val="Heading2"/>
      </w:pPr>
      <w:r>
        <w:t xml:space="preserve">8. SWOT Analysis</w:t>
      </w:r>
    </w:p>
    <w:bookmarkStart w:id="45" w:name="strengths"/>
    <w:p>
      <w:pPr>
        <w:pStyle w:val="Heading3"/>
      </w:pPr>
      <w:r>
        <w:t xml:space="preserve">Strengths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t xml:space="preserve">Demand is regulator-mandated with a fixed date, not speculative.</w:t>
            </w:r>
          </w:p>
        </w:tc>
        <w:tc>
          <w:p>
            <w:pPr>
              <w:pStyle w:val="Compact"/>
              <w:jc w:val="left"/>
            </w:pPr>
            <w:r>
              <w:t xml:space="preserve">RBI Q-SAFE; national CII deadline 2027–2029; SEBI CSCRF; US EO 14412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p>
            <w:pPr>
              <w:pStyle w:val="Compact"/>
              <w:jc w:val="left"/>
            </w:pPr>
            <w:r>
              <w:t xml:space="preserve">The gap is independently confirmed as future work by three separate 2026 papers.</w:t>
            </w:r>
          </w:p>
        </w:tc>
        <w:tc>
          <w:p>
            <w:pPr>
              <w:pStyle w:val="Compact"/>
              <w:jc w:val="left"/>
            </w:pPr>
            <w:r>
              <w:t xml:space="preserve">[P1] admits manual triage; [P4] names the missing pillars; [P5] admits no predictive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p>
            <w:pPr>
              <w:pStyle w:val="Compact"/>
              <w:jc w:val="left"/>
            </w:pPr>
            <w:r>
              <w:t xml:space="preserve">Published numbers exist to be measured against — no need to invent a success criterion.</w:t>
            </w:r>
          </w:p>
        </w:tc>
        <w:tc>
          <w:p>
            <w:pPr>
              <w:pStyle w:val="Compact"/>
              <w:jc w:val="left"/>
            </w:pPr>
            <w:r>
              <w:t xml:space="preserve">0.75 F1, ≈0.3 actionable precision, 0.66 CBOMkit, 92.5% patch correctness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p>
            <w:pPr>
              <w:pStyle w:val="Compact"/>
              <w:jc w:val="left"/>
            </w:pPr>
            <w:r>
              <w:t xml:space="preserve">Zero hardware cost, zero data collection, no GPU, no vendor dependency.</w:t>
            </w:r>
          </w:p>
        </w:tc>
        <w:tc>
          <w:p>
            <w:pPr>
              <w:pStyle w:val="Compact"/>
              <w:jc w:val="left"/>
            </w:pPr>
            <w:r>
              <w:t xml:space="preserve">Pure static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p>
            <w:pPr>
              <w:pStyle w:val="Compact"/>
              <w:jc w:val="left"/>
            </w:pPr>
            <w:r>
              <w:t xml:space="preserve">Core technique is proven tractable at scale since 2019.</w:t>
            </w:r>
          </w:p>
        </w:tc>
        <w:tc>
          <w:p>
            <w:pPr>
              <w:pStyle w:val="Compact"/>
              <w:jc w:val="left"/>
            </w:pPr>
            <w:r>
              <w:t xml:space="preserve">CryptoGuard [P13]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p>
            <w:pPr>
              <w:pStyle w:val="Compact"/>
              <w:jc w:val="left"/>
            </w:pPr>
            <w:r>
              <w:t xml:space="preserve">Clean three-way decomposition; every layer is independently publishable.</w:t>
            </w:r>
          </w:p>
        </w:tc>
        <w:tc>
          <w:p>
            <w:pPr>
              <w:pStyle w:val="Compact"/>
              <w:jc w:val="left"/>
            </w:pPr>
            <w:r>
              <w:t xml:space="preserve">§7.7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p>
            <w:pPr>
              <w:pStyle w:val="Compact"/>
              <w:jc w:val="left"/>
            </w:pPr>
            <w:r>
              <w:t xml:space="preserve">Genuine patent position with a measurable technical effect.</w:t>
            </w:r>
          </w:p>
        </w:tc>
        <w:tc>
          <w:p>
            <w:pPr>
              <w:pStyle w:val="Compact"/>
              <w:jc w:val="left"/>
            </w:pPr>
            <w:r>
              <w:t xml:space="preserve">§6, CRI Guidelines 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S8</w:t>
            </w:r>
          </w:p>
        </w:tc>
        <w:tc>
          <w:p>
            <w:pPr>
              <w:pStyle w:val="Compact"/>
              <w:jc w:val="left"/>
            </w:pPr>
            <w:r>
              <w:t xml:space="preserve">Demonstration is concrete and short: point the tool at a real repository, get a ranked plan and an opened pull request.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5"/>
    <w:bookmarkStart w:id="46" w:name="weaknesses"/>
    <w:p>
      <w:pPr>
        <w:pStyle w:val="Heading3"/>
      </w:pPr>
      <w:r>
        <w:t xml:space="preserve">Weaknesses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Weakness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p>
            <w:pPr>
              <w:pStyle w:val="Compact"/>
              <w:jc w:val="left"/>
            </w:pPr>
            <w:r>
              <w:t xml:space="preserve">Inter-procedural dataflow in dynamically typed Python is genuinely hard; P1 concedes even literal resolution fails for runtime-computed arguments.</w:t>
            </w:r>
          </w:p>
        </w:tc>
        <w:tc>
          <w:p>
            <w:pPr>
              <w:pStyle w:val="Compact"/>
              <w:jc w:val="left"/>
            </w:pPr>
            <w:r>
              <w:t xml:space="preserve">Target 70% coverage, not 100%; explicit "insufficient context" bucket; Java (statically typed, CodeQL-supported) as the primary demonstration language.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t xml:space="preserve">Retention ground truth requires human annotation; no public dataset exists.</w:t>
            </w:r>
          </w:p>
        </w:tc>
        <w:tc>
          <w:p>
            <w:pPr>
              <w:pStyle w:val="Compact"/>
              <w:jc w:val="left"/>
            </w:pPr>
            <w:r>
              <w:t xml:space="preserve">Annotation is scoped to top-20 findings per repository (~300–400 labels), two annotators, agreement reported. Building the benchmark is reframed as contribution O6.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p>
            <w:pPr>
              <w:pStyle w:val="Compact"/>
              <w:jc w:val="left"/>
            </w:pPr>
            <w:r>
              <w:t xml:space="preserve">Expert priority labels are subjective; the ranking target is partly opinion.</w:t>
            </w:r>
          </w:p>
        </w:tc>
        <w:tc>
          <w:p>
            <w:pPr>
              <w:pStyle w:val="Compact"/>
              <w:jc w:val="left"/>
            </w:pPr>
            <w:r>
              <w:t xml:space="preserve">Report inter-annotator agreement; use</w:t>
            </w:r>
            <w:r>
              <w:t xml:space="preserve"> </w:t>
            </w:r>
            <w:r>
              <w:rPr>
                <w:iCs/>
                <w:i/>
              </w:rPr>
              <w:t xml:space="preserve">ordering</w:t>
            </w:r>
            <w:r>
              <w:t xml:space="preserve"> </w:t>
            </w:r>
            <w:r>
              <w:t xml:space="preserve">not absolute scores; hold out repositories; report sensitivity to weights.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t xml:space="preserve">The team has no prior static-analysis or compiler experience.</w:t>
            </w:r>
          </w:p>
        </w:tc>
        <w:tc>
          <w:p>
            <w:pPr>
              <w:pStyle w:val="Compact"/>
              <w:jc w:val="left"/>
            </w:pPr>
            <w:r>
              <w:t xml:space="preserve">Build on CodeQL and Semgrep rather than a bespoke IR; month 3–4 baseline replication acts as an early competence check with a fallback (drop to intra-procedural + configuration-level binding, which still exceeds all baselines).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Differential testing is unsound — it can miss inequivalence.</w:t>
            </w:r>
          </w:p>
        </w:tc>
        <w:tc>
          <w:p>
            <w:pPr>
              <w:pStyle w:val="Compact"/>
              <w:jc w:val="left"/>
            </w:pPr>
            <w:r>
              <w:t xml:space="preserve">Stated as a limitation, not hidden; property tests target the specific classes round-trip testing misses.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W6</w:t>
            </w:r>
          </w:p>
        </w:tc>
        <w:tc>
          <w:p>
            <w:pPr>
              <w:pStyle w:val="Compact"/>
              <w:jc w:val="left"/>
            </w:pPr>
            <w:r>
              <w:t xml:space="preserve">We cannot see into vendored binaries or closed dependencies.</w:t>
            </w:r>
          </w:p>
        </w:tc>
        <w:tc>
          <w:p>
            <w:pPr>
              <w:pStyle w:val="Compact"/>
              <w:jc w:val="left"/>
            </w:pPr>
            <w:r>
              <w:t xml:space="preserve">Declared out of scope with the complementary line of work cited [P11].</w:t>
            </w:r>
          </w:p>
        </w:tc>
      </w:tr>
    </w:tbl>
    <w:bookmarkEnd w:id="46"/>
    <w:bookmarkStart w:id="47" w:name="opportunities"/>
    <w:p>
      <w:pPr>
        <w:pStyle w:val="Heading3"/>
      </w:pPr>
      <w:r>
        <w:t xml:space="preserve">Opportunities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Opportunity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O1</w:t>
            </w:r>
          </w:p>
        </w:tc>
        <w:tc>
          <w:p>
            <w:pPr>
              <w:pStyle w:val="Compact"/>
              <w:jc w:val="left"/>
            </w:pPr>
            <w:r>
              <w:t xml:space="preserve">CISA/NIST CBOM minimum elements (due under EO 14412) will define a schema target; conforming early positions the tool as reference-compatible.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O2</w:t>
            </w:r>
          </w:p>
        </w:tc>
        <w:tc>
          <w:p>
            <w:pPr>
              <w:pStyle w:val="Compact"/>
              <w:jc w:val="left"/>
            </w:pPr>
            <w:r>
              <w:t xml:space="preserve">A policy-engine layer already exists above the CBOM [P7] and a standardised object model below it [P6] — our semantic annotations slot into an established stack rather than competing with 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p>
            <w:pPr>
              <w:pStyle w:val="Compact"/>
              <w:jc w:val="left"/>
            </w:pPr>
            <w:r>
              <w:t xml:space="preserve">The retention-annotated benchmark is likely to be reused, which is how a student artefact acquires citations.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O4</w:t>
            </w:r>
          </w:p>
        </w:tc>
        <w:tc>
          <w:p>
            <w:pPr>
              <w:pStyle w:val="Compact"/>
              <w:jc w:val="left"/>
            </w:pPr>
            <w:r>
              <w:t xml:space="preserve">Direct route to industry engagement: an Indian bank or CII operator under the 2027–2029 deadline is a willing pilot partner and a strong letter of support.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O5</w:t>
            </w:r>
          </w:p>
        </w:tc>
        <w:tc>
          <w:p>
            <w:pPr>
              <w:pStyle w:val="Compact"/>
              <w:jc w:val="left"/>
            </w:pPr>
            <w:r>
              <w:t xml:space="preserve">The ranking-evaluation protocol (O7) can be published as a short methodological paper even if the tool underperforms.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O6</w:t>
            </w:r>
          </w:p>
        </w:tc>
        <w:tc>
          <w:p>
            <w:pPr>
              <w:pStyle w:val="Compact"/>
              <w:jc w:val="left"/>
            </w:pPr>
            <w:r>
              <w:t xml:space="preserve">Natural extensions: archival re-timestamping, certificate-estate ranking, extension to Go/C++ — a follow-on programme rather than a dead end.</w:t>
            </w:r>
          </w:p>
        </w:tc>
      </w:tr>
    </w:tbl>
    <w:bookmarkEnd w:id="47"/>
    <w:bookmarkStart w:id="48" w:name="threats"/>
    <w:p>
      <w:pPr>
        <w:pStyle w:val="Heading3"/>
      </w:pPr>
      <w:r>
        <w:t xml:space="preserve">Threats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A vendor (IBM, SandboxAQ, Fortanix) ships dataflow-aware prioritisation during our project year.</w:t>
            </w:r>
          </w:p>
        </w:tc>
        <w:tc>
          <w:p>
            <w:pPr>
              <w:pStyle w:val="Compact"/>
              <w:jc w:val="left"/>
            </w:pPr>
            <w:r>
              <w:t xml:space="preserve">File the provisional early (month 10 at the latest, earlier if a competing release appears); our defensible ground is the</w:t>
            </w:r>
            <w:r>
              <w:t xml:space="preserve"> </w:t>
            </w:r>
            <w:r>
              <w:rPr>
                <w:iCs/>
                <w:i/>
              </w:rPr>
              <w:t xml:space="preserve">evaluated, reproducible, open</w:t>
            </w:r>
            <w:r>
              <w:t xml:space="preserve"> </w:t>
            </w:r>
            <w:r>
              <w:t xml:space="preserve">version with a public benchmark — vendors publish neither.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The CBOM schema changes mid-project once CISA/NIST publish minimum elements.</w:t>
            </w:r>
          </w:p>
        </w:tc>
        <w:tc>
          <w:p>
            <w:pPr>
              <w:pStyle w:val="Compact"/>
              <w:jc w:val="left"/>
            </w:pPr>
            <w:r>
              <w:t xml:space="preserve">Keep the semantic layer schema-independent; emit CycloneDX through a thin adapter.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p>
            <w:pPr>
              <w:pStyle w:val="Compact"/>
              <w:jc w:val="left"/>
            </w:pPr>
            <w:r>
              <w:t xml:space="preserve">Publishing before filing destroys Indian patent novelty.</w:t>
            </w:r>
          </w:p>
        </w:tc>
        <w:tc>
          <w:p>
            <w:pPr>
              <w:pStyle w:val="Compact"/>
              <w:jc w:val="left"/>
            </w:pPr>
            <w:r>
              <w:t xml:space="preserve">Hard project rule: build → measure → provisional → publish. No preprint before filing. Raised with the guide as an institutional-process question.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p>
            <w:pPr>
              <w:pStyle w:val="Compact"/>
              <w:jc w:val="left"/>
            </w:pPr>
            <w:r>
              <w:t xml:space="preserve">Scope creep across languages consumes the year and leaves nothing measured.</w:t>
            </w:r>
          </w:p>
        </w:tc>
        <w:tc>
          <w:p>
            <w:pPr>
              <w:pStyle w:val="Compact"/>
              <w:jc w:val="left"/>
            </w:pPr>
            <w:r>
              <w:t xml:space="preserve">Two languages, frozen at month 2. Go only if months 1–8 finish clean.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p>
            <w:pPr>
              <w:pStyle w:val="Compact"/>
              <w:jc w:val="left"/>
            </w:pPr>
            <w:r>
              <w:t xml:space="preserve">Retention evidence may be too sparse in real repositories for the score to work.</w:t>
            </w:r>
          </w:p>
        </w:tc>
        <w:tc>
          <w:p>
            <w:pPr>
              <w:pStyle w:val="Compact"/>
              <w:jc w:val="left"/>
            </w:pPr>
            <w:r>
              <w:t xml:space="preserve">Explicit early check at month 5 on three repositories. If sparse, pivot to a hybrid mode where the analyst supplies retention</w:t>
            </w:r>
            <w:r>
              <w:t xml:space="preserve"> </w:t>
            </w:r>
            <w:r>
              <w:rPr>
                <w:iCs/>
                <w:i/>
              </w:rPr>
              <w:t xml:space="preserve">per data class</w:t>
            </w:r>
            <w:r>
              <w:t xml:space="preserve"> </w:t>
            </w:r>
            <w:r>
              <w:t xml:space="preserve">and the tool propagates it through the dataflow graph — which still automates the hard part and preserves N1–N3.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p>
            <w:pPr>
              <w:pStyle w:val="Compact"/>
              <w:jc w:val="left"/>
            </w:pPr>
            <w:r>
              <w:t xml:space="preserve">Expert annotator availability.</w:t>
            </w:r>
          </w:p>
        </w:tc>
        <w:tc>
          <w:p>
            <w:pPr>
              <w:pStyle w:val="Compact"/>
              <w:jc w:val="left"/>
            </w:pPr>
            <w:r>
              <w:t xml:space="preserve">Fall back to a documented rubric-driven ordering by two team members plus the guide, with agreement reported; less authoritative, still measurable.</w:t>
            </w:r>
          </w:p>
        </w:tc>
      </w:tr>
    </w:tbl>
    <w:p>
      <w:pPr>
        <w:pStyle w:val="BodyText"/>
      </w:pPr>
      <w:r>
        <w:rPr>
          <w:bCs/>
          <w:b/>
        </w:rPr>
        <w:t xml:space="preserve">Strategic reading.</w:t>
      </w:r>
      <w:r>
        <w:t xml:space="preserve"> </w:t>
      </w:r>
      <w:r>
        <w:t xml:space="preserve">The project's centre of gravity is W1/T5 — whether enough semantic context is</w:t>
      </w:r>
      <w:r>
        <w:t xml:space="preserve"> </w:t>
      </w:r>
      <w:r>
        <w:t xml:space="preserve">statically recoverable from real code. Both have concrete month-5 checkpoints and a defined pivot that</w:t>
      </w:r>
      <w:r>
        <w:t xml:space="preserve"> </w:t>
      </w:r>
      <w:r>
        <w:t xml:space="preserve">preserves the novelty claims. Every other risk is schedule or scope, and is bounded by the layered</w:t>
      </w:r>
      <w:r>
        <w:t xml:space="preserve"> </w:t>
      </w:r>
      <w:r>
        <w:t xml:space="preserve">design.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b7a5ee4ce8e05a16b8feeb446a835d6396720f4"/>
    <w:p>
      <w:pPr>
        <w:pStyle w:val="Heading2"/>
      </w:pPr>
      <w:r>
        <w:t xml:space="preserve">9. Expected Outcomes and Deliverables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Tool</w:t>
      </w:r>
      <w:r>
        <w:t xml:space="preserve"> </w:t>
      </w:r>
      <w:r>
        <w:t xml:space="preserve">— CLI plus CI action producing a CycloneDX 1.6 CBOM enriched with dataflow, retention and</w:t>
      </w:r>
      <w:r>
        <w:t xml:space="preserve"> </w:t>
      </w:r>
      <w:r>
        <w:t xml:space="preserve">exposure annotations, and a ranked migration plan.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Primary quantitative result</w:t>
      </w:r>
      <w:r>
        <w:t xml:space="preserve"> </w:t>
      </w:r>
      <w:r>
        <w:t xml:space="preserve">— ranking quality against expert order (nDCG@20, Kendall-τ) versus</w:t>
      </w:r>
      <w:r>
        <w:t xml:space="preserve"> </w:t>
      </w:r>
      <w:r>
        <w:t xml:space="preserve">algorithm-severity ordering; the first such measurement in this literature.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Secondary result</w:t>
      </w:r>
      <w:r>
        <w:t xml:space="preserve"> </w:t>
      </w:r>
      <w:r>
        <w:t xml:space="preserve">— actionable-finding precision improvement over the reported ≈0.30 baseline,</w:t>
      </w:r>
      <w:r>
        <w:t xml:space="preserve"> </w:t>
      </w:r>
      <w:r>
        <w:t xml:space="preserve">as a precision/recall trade-off curve.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Tertiary result</w:t>
      </w:r>
      <w:r>
        <w:t xml:space="preserve"> </w:t>
      </w:r>
      <w:r>
        <w:t xml:space="preserve">— verified hybrid patch correctness rate on real multi-file repositories, with</w:t>
      </w:r>
      <w:r>
        <w:t xml:space="preserve"> </w:t>
      </w:r>
      <w:r>
        <w:t xml:space="preserve">honest comparison against the 92.5% synthetic-setting figure.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Public benchmark</w:t>
      </w:r>
      <w:r>
        <w:t xml:space="preserve"> </w:t>
      </w:r>
      <w:r>
        <w:t xml:space="preserve">— 15–20 repositories annotated with crypto assets, protected-data classes,</w:t>
      </w:r>
      <w:r>
        <w:t xml:space="preserve"> </w:t>
      </w:r>
      <w:r>
        <w:t xml:space="preserve">retention and expert priority ordering, with inter-annotator agreement.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Provisional patent application</w:t>
      </w:r>
      <w:r>
        <w:t xml:space="preserve"> </w:t>
      </w:r>
      <w:r>
        <w:t xml:space="preserve">on retention-and-exposure-derived remediation ordering, filed</w:t>
      </w:r>
      <w:r>
        <w:t xml:space="preserve"> </w:t>
      </w:r>
      <w:r>
        <w:t xml:space="preserve">before any disclosure.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Paper</w:t>
      </w:r>
      <w:r>
        <w:t xml:space="preserve"> </w:t>
      </w:r>
      <w:r>
        <w:t xml:space="preserve">targeting a software-engineering or applied-security venue, positioned explicitly as</w:t>
      </w:r>
      <w:r>
        <w:t xml:space="preserve"> </w:t>
      </w:r>
      <w:r>
        <w:t xml:space="preserve">implementing the semantic-refactoring pillar identified in [P4].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Demonstration</w:t>
      </w:r>
      <w:r>
        <w:t xml:space="preserve"> </w:t>
      </w:r>
      <w:r>
        <w:t xml:space="preserve">— a real repository in, a ranked plan and an opened pull request out, in under</w:t>
      </w:r>
      <w:r>
        <w:t xml:space="preserve"> </w:t>
      </w:r>
      <w:r>
        <w:t xml:space="preserve">ten minutes.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0"/>
    <w:bookmarkStart w:id="63" w:name="X3b4c3db7819ed66f453f0c9b146c43e80460b49"/>
    <w:p>
      <w:pPr>
        <w:pStyle w:val="Heading2"/>
      </w:pPr>
      <w:r>
        <w:t xml:space="preserve">10. References</w:t>
      </w:r>
    </w:p>
    <w:p>
      <w:pPr>
        <w:pStyle w:val="FirstParagraph"/>
      </w:pPr>
      <w:r>
        <w:rPr>
          <w:bCs/>
          <w:b/>
        </w:rPr>
        <w:t xml:space="preserve">[P1]</w:t>
      </w:r>
      <w:r>
        <w:t xml:space="preserve"> </w:t>
      </w:r>
      <w:r>
        <w:t xml:space="preserve">C. Näther and E. Hirsch.</w:t>
      </w:r>
      <w:r>
        <w:t xml:space="preserve"> </w:t>
      </w:r>
      <w:r>
        <w:rPr>
          <w:iCs/>
          <w:i/>
        </w:rPr>
        <w:t xml:space="preserve">Hidden Ciphers and Where to Find Them: Static Discovery and Assessment of Cryptographic Assets in Software.</w:t>
      </w:r>
      <w:r>
        <w:t xml:space="preserve"> </w:t>
      </w:r>
      <w:r>
        <w:t xml:space="preserve">arXiv:2608.04857, August 2026.</w:t>
      </w:r>
      <w:r>
        <w:t xml:space="preserve"> </w:t>
      </w:r>
      <w:hyperlink r:id="rId51">
        <w:r>
          <w:rPr>
            <w:rStyle w:val="Hyperlink"/>
          </w:rPr>
          <w:t xml:space="preserve">https://arxiv.org/abs/2608.04857</w:t>
        </w:r>
      </w:hyperlink>
    </w:p>
    <w:p>
      <w:pPr>
        <w:pStyle w:val="BodyText"/>
      </w:pPr>
      <w:r>
        <w:rPr>
          <w:bCs/>
          <w:b/>
        </w:rPr>
        <w:t xml:space="preserve">[P2]</w:t>
      </w:r>
      <w:r>
        <w:t xml:space="preserve"> </w:t>
      </w:r>
      <w:r>
        <w:t xml:space="preserve">A. Shaw.</w:t>
      </w:r>
      <w:r>
        <w:t xml:space="preserve"> </w:t>
      </w:r>
      <w:r>
        <w:rPr>
          <w:iCs/>
          <w:i/>
        </w:rPr>
        <w:t xml:space="preserve">Quantum-Safe Code Auditing: LLM-Assisted Static Analysis and Quantum-Aware Risk Scoring for Post-Quantum Cryptography Migration.</w:t>
      </w:r>
      <w:r>
        <w:t xml:space="preserve"> </w:t>
      </w:r>
      <w:r>
        <w:t xml:space="preserve">arXiv:2604.00560, April 2026.</w:t>
      </w:r>
      <w:r>
        <w:t xml:space="preserve"> </w:t>
      </w:r>
      <w:hyperlink r:id="rId52">
        <w:r>
          <w:rPr>
            <w:rStyle w:val="Hyperlink"/>
          </w:rPr>
          <w:t xml:space="preserve">https://arxiv.org/abs/2604.00560</w:t>
        </w:r>
      </w:hyperlink>
    </w:p>
    <w:p>
      <w:pPr>
        <w:pStyle w:val="BodyText"/>
      </w:pPr>
      <w:r>
        <w:rPr>
          <w:bCs/>
          <w:b/>
        </w:rPr>
        <w:t xml:space="preserve">[P3]</w:t>
      </w:r>
      <w:r>
        <w:t xml:space="preserve"> </w:t>
      </w:r>
      <w:r>
        <w:t xml:space="preserve">J. Pallarés de Bonrostro, A. I. González-Tabales and M. I. González Vasco.</w:t>
      </w:r>
      <w:r>
        <w:t xml:space="preserve"> </w:t>
      </w:r>
      <w:r>
        <w:rPr>
          <w:iCs/>
          <w:i/>
        </w:rPr>
        <w:t xml:space="preserve">Empirical Evaluation of Large Language Models for Migration of Code Fragments to Post-Quantum Cryptography.</w:t>
      </w:r>
      <w:r>
        <w:t xml:space="preserve"> </w:t>
      </w:r>
      <w:r>
        <w:t xml:space="preserve">arXiv:2606.07341, June 2026.</w:t>
      </w:r>
      <w:r>
        <w:t xml:space="preserve"> </w:t>
      </w:r>
      <w:hyperlink r:id="rId53">
        <w:r>
          <w:rPr>
            <w:rStyle w:val="Hyperlink"/>
          </w:rPr>
          <w:t xml:space="preserve">https://arxiv.org/abs/2606.07341</w:t>
        </w:r>
      </w:hyperlink>
    </w:p>
    <w:p>
      <w:pPr>
        <w:pStyle w:val="BodyText"/>
      </w:pPr>
      <w:r>
        <w:rPr>
          <w:bCs/>
          <w:b/>
        </w:rPr>
        <w:t xml:space="preserve">[P4]</w:t>
      </w:r>
      <w:r>
        <w:t xml:space="preserve"> </w:t>
      </w:r>
      <w:r>
        <w:t xml:space="preserve">L. Zhang.</w:t>
      </w:r>
      <w:r>
        <w:t xml:space="preserve"> </w:t>
      </w:r>
      <w:r>
        <w:rPr>
          <w:iCs/>
          <w:i/>
        </w:rPr>
        <w:t xml:space="preserve">Toward Quantum-Safe Software Engineering: A Vision for Post-Quantum Cryptography Migration.</w:t>
      </w:r>
      <w:r>
        <w:t xml:space="preserve"> </w:t>
      </w:r>
      <w:r>
        <w:t xml:space="preserve">Poster, ICSE 2026; arXiv:2602.05759.</w:t>
      </w:r>
      <w:r>
        <w:t xml:space="preserve"> </w:t>
      </w:r>
      <w:hyperlink r:id="rId54">
        <w:r>
          <w:rPr>
            <w:rStyle w:val="Hyperlink"/>
          </w:rPr>
          <w:t xml:space="preserve">https://arxiv.org/abs/2602.05759</w:t>
        </w:r>
      </w:hyperlink>
    </w:p>
    <w:p>
      <w:pPr>
        <w:pStyle w:val="BodyText"/>
      </w:pPr>
      <w:r>
        <w:rPr>
          <w:bCs/>
          <w:b/>
        </w:rPr>
        <w:t xml:space="preserve">[P5]</w:t>
      </w:r>
      <w:r>
        <w:t xml:space="preserve"> </w:t>
      </w:r>
      <w:r>
        <w:t xml:space="preserve">A. D. B. Costa.</w:t>
      </w:r>
      <w:r>
        <w:t xml:space="preserve"> </w:t>
      </w:r>
      <w:r>
        <w:rPr>
          <w:iCs/>
          <w:i/>
        </w:rPr>
        <w:t xml:space="preserve">Quantum-Safe Cryptography: A Migration Framework for Legacy Systems Toward NIST PQC Standards with the Crypto-Agility Readiness Score.</w:t>
      </w:r>
      <w:r>
        <w:t xml:space="preserve"> </w:t>
      </w:r>
      <w:r>
        <w:t xml:space="preserve">IACR ePrint 2026/1467, July 2026.</w:t>
      </w:r>
      <w:r>
        <w:t xml:space="preserve"> </w:t>
      </w:r>
      <w:hyperlink r:id="rId55">
        <w:r>
          <w:rPr>
            <w:rStyle w:val="Hyperlink"/>
          </w:rPr>
          <w:t xml:space="preserve">https://eprint.iacr.org/2026/1467</w:t>
        </w:r>
      </w:hyperlink>
    </w:p>
    <w:p>
      <w:pPr>
        <w:pStyle w:val="BodyText"/>
      </w:pPr>
      <w:r>
        <w:rPr>
          <w:bCs/>
          <w:b/>
        </w:rPr>
        <w:t xml:space="preserve">[P6]</w:t>
      </w:r>
      <w:r>
        <w:t xml:space="preserve"> </w:t>
      </w:r>
      <w:r>
        <w:t xml:space="preserve">IBM Research.</w:t>
      </w:r>
      <w:r>
        <w:t xml:space="preserve"> </w:t>
      </w:r>
      <w:r>
        <w:rPr>
          <w:iCs/>
          <w:i/>
        </w:rPr>
        <w:t xml:space="preserve">The Anatomy of Cryptography Bills of Materials: Standardization and Practice in CycloneDX.</w:t>
      </w:r>
      <w:r>
        <w:t xml:space="preserve"> </w:t>
      </w:r>
      <w:r>
        <w:t xml:space="preserve">Eurocrypt 2026.</w:t>
      </w:r>
      <w:r>
        <w:t xml:space="preserve"> </w:t>
      </w:r>
      <w:hyperlink r:id="rId56">
        <w:r>
          <w:rPr>
            <w:rStyle w:val="Hyperlink"/>
          </w:rPr>
          <w:t xml:space="preserve">https://research.ibm.com/publications/the-anatomy-of-cryptography-bills-of-materials-standardization-and-practice-in-cyclonedx</w:t>
        </w:r>
      </w:hyperlink>
    </w:p>
    <w:p>
      <w:pPr>
        <w:pStyle w:val="BodyText"/>
      </w:pPr>
      <w:r>
        <w:rPr>
          <w:bCs/>
          <w:b/>
        </w:rPr>
        <w:t xml:space="preserve">[P7]</w:t>
      </w:r>
      <w:r>
        <w:t xml:space="preserve"> </w:t>
      </w:r>
      <w:r>
        <w:rPr>
          <w:iCs/>
          <w:i/>
        </w:rPr>
        <w:t xml:space="preserve">Towards Cryptography Bill of Materials Compliance.</w:t>
      </w:r>
      <w:r>
        <w:t xml:space="preserve"> </w:t>
      </w:r>
      <w:r>
        <w:t xml:space="preserve">Springer LNCS, 2026.</w:t>
      </w:r>
      <w:r>
        <w:t xml:space="preserve"> </w:t>
      </w:r>
      <w:hyperlink r:id="rId57">
        <w:r>
          <w:rPr>
            <w:rStyle w:val="Hyperlink"/>
          </w:rPr>
          <w:t xml:space="preserve">https://link.springer.com/chapter/10.1007/978-3-032-19567-8_10</w:t>
        </w:r>
      </w:hyperlink>
    </w:p>
    <w:p>
      <w:pPr>
        <w:pStyle w:val="BodyText"/>
      </w:pPr>
      <w:r>
        <w:rPr>
          <w:bCs/>
          <w:b/>
        </w:rPr>
        <w:t xml:space="preserve">[P8]</w:t>
      </w:r>
      <w:r>
        <w:t xml:space="preserve"> </w:t>
      </w:r>
      <w:r>
        <w:rPr>
          <w:iCs/>
          <w:i/>
        </w:rPr>
        <w:t xml:space="preserve">On the Practical Feasibility of Harvest-Now, Decrypt-Later Attacks.</w:t>
      </w:r>
      <w:r>
        <w:t xml:space="preserve"> </w:t>
      </w:r>
      <w:r>
        <w:t xml:space="preserve">arXiv:2603.01091, 2026.</w:t>
      </w:r>
      <w:r>
        <w:t xml:space="preserve"> </w:t>
      </w:r>
      <w:hyperlink r:id="rId58">
        <w:r>
          <w:rPr>
            <w:rStyle w:val="Hyperlink"/>
          </w:rPr>
          <w:t xml:space="preserve">https://arxiv.org/abs/2603.01091</w:t>
        </w:r>
      </w:hyperlink>
    </w:p>
    <w:p>
      <w:pPr>
        <w:pStyle w:val="BodyText"/>
      </w:pPr>
      <w:r>
        <w:rPr>
          <w:bCs/>
          <w:b/>
        </w:rPr>
        <w:t xml:space="preserve">[P9]</w:t>
      </w:r>
      <w:r>
        <w:t xml:space="preserve"> </w:t>
      </w:r>
      <w:r>
        <w:rPr>
          <w:iCs/>
          <w:i/>
        </w:rPr>
        <w:t xml:space="preserve">Post-Quantum Cryptography and Quantum-Safe Security: A Comprehensive Survey.</w:t>
      </w:r>
      <w:r>
        <w:t xml:space="preserve"> </w:t>
      </w:r>
      <w:r>
        <w:t xml:space="preserve">arXiv:2510.10436, October 2025, revised June 2026.</w:t>
      </w:r>
      <w:r>
        <w:t xml:space="preserve"> </w:t>
      </w:r>
      <w:hyperlink r:id="rId59">
        <w:r>
          <w:rPr>
            <w:rStyle w:val="Hyperlink"/>
          </w:rPr>
          <w:t xml:space="preserve">https://arxiv.org/abs/2510.10436</w:t>
        </w:r>
      </w:hyperlink>
    </w:p>
    <w:p>
      <w:pPr>
        <w:pStyle w:val="BodyText"/>
      </w:pPr>
      <w:r>
        <w:rPr>
          <w:bCs/>
          <w:b/>
        </w:rPr>
        <w:t xml:space="preserve">[P10]</w:t>
      </w:r>
      <w:r>
        <w:t xml:space="preserve"> </w:t>
      </w:r>
      <w:r>
        <w:rPr>
          <w:iCs/>
          <w:i/>
        </w:rPr>
        <w:t xml:space="preserve">Securing Cryptography in the Age of Quantum Computing and AI: Threats, Implementations, and Strategic Response.</w:t>
      </w:r>
      <w:r>
        <w:t xml:space="preserve"> </w:t>
      </w:r>
      <w:r>
        <w:t xml:space="preserve">arXiv:2603.06969, March 2026.</w:t>
      </w:r>
      <w:r>
        <w:t xml:space="preserve"> </w:t>
      </w:r>
      <w:hyperlink r:id="rId60">
        <w:r>
          <w:rPr>
            <w:rStyle w:val="Hyperlink"/>
          </w:rPr>
          <w:t xml:space="preserve">https://arxiv.org/abs/2603.06969</w:t>
        </w:r>
      </w:hyperlink>
    </w:p>
    <w:p>
      <w:pPr>
        <w:pStyle w:val="BodyText"/>
      </w:pPr>
      <w:r>
        <w:rPr>
          <w:bCs/>
          <w:b/>
        </w:rPr>
        <w:t xml:space="preserve">[P11]</w:t>
      </w:r>
      <w:r>
        <w:t xml:space="preserve"> </w:t>
      </w:r>
      <w:r>
        <w:rPr>
          <w:iCs/>
          <w:i/>
        </w:rPr>
        <w:t xml:space="preserve">A Toolchain for Assisting Migration of Software Executables Towards Post-Quantum Cryptography.</w:t>
      </w:r>
      <w:r>
        <w:t xml:space="preserve"> </w:t>
      </w:r>
      <w:r>
        <w:t xml:space="preserve">arXiv:2409.07852, 2024.</w:t>
      </w:r>
      <w:r>
        <w:t xml:space="preserve"> </w:t>
      </w:r>
      <w:hyperlink r:id="rId61">
        <w:r>
          <w:rPr>
            <w:rStyle w:val="Hyperlink"/>
          </w:rPr>
          <w:t xml:space="preserve">https://arxiv.org/abs/2409.07852</w:t>
        </w:r>
      </w:hyperlink>
    </w:p>
    <w:p>
      <w:pPr>
        <w:pStyle w:val="BodyText"/>
      </w:pPr>
      <w:r>
        <w:rPr>
          <w:bCs/>
          <w:b/>
        </w:rPr>
        <w:t xml:space="preserve">[P12]</w:t>
      </w:r>
      <w:r>
        <w:t xml:space="preserve"> </w:t>
      </w:r>
      <w:r>
        <w:rPr>
          <w:iCs/>
          <w:i/>
        </w:rPr>
        <w:t xml:space="preserve">The Cost of Waiting: A Decision-Theoretic Synthesis of Early Versus Late Post-Quantum Migration Under Uncertainty.</w:t>
      </w:r>
      <w:r>
        <w:t xml:space="preserve"> </w:t>
      </w:r>
      <w:r>
        <w:t xml:space="preserve">Frontiers in Quantum Science and Technology, 2026.</w:t>
      </w:r>
      <w:r>
        <w:t xml:space="preserve"> </w:t>
      </w:r>
      <w:hyperlink r:id="rId62">
        <w:r>
          <w:rPr>
            <w:rStyle w:val="Hyperlink"/>
          </w:rPr>
          <w:t xml:space="preserve">https://www.frontiersin.org/journals/quantum-science-and-technology/articles/10.3389/frqst.2026.1918786/abstract</w:t>
        </w:r>
      </w:hyperlink>
    </w:p>
    <w:p>
      <w:pPr>
        <w:pStyle w:val="BodyText"/>
      </w:pPr>
      <w:r>
        <w:rPr>
          <w:bCs/>
          <w:b/>
        </w:rPr>
        <w:t xml:space="preserve">[P13]</w:t>
      </w:r>
      <w:r>
        <w:t xml:space="preserve"> </w:t>
      </w:r>
      <w:r>
        <w:t xml:space="preserve">S. Rahaman et al.</w:t>
      </w:r>
      <w:r>
        <w:t xml:space="preserve"> </w:t>
      </w:r>
      <w:r>
        <w:rPr>
          <w:iCs/>
          <w:i/>
        </w:rPr>
        <w:t xml:space="preserve">CryptoGuard: High Precision Detection of Cryptographic Vulnerabilities in Massive-Sized Java Projects.</w:t>
      </w:r>
      <w:r>
        <w:t xml:space="preserve"> </w:t>
      </w:r>
      <w:r>
        <w:t xml:space="preserve">ACM CCS 2019.</w:t>
      </w:r>
    </w:p>
    <w:p>
      <w:pPr>
        <w:pStyle w:val="BodyText"/>
      </w:pPr>
      <w:r>
        <w:rPr>
          <w:bCs/>
          <w:b/>
        </w:rPr>
        <w:t xml:space="preserve">Standards and regulatory sources.</w:t>
      </w:r>
      <w:r>
        <w:t xml:space="preserve"> </w:t>
      </w:r>
      <w:r>
        <w:t xml:space="preserve">NIST FIPS 203 (ML-KEM), FIPS 204 (ML-DSA), FIPS 205 (SLH-DSA);</w:t>
      </w:r>
      <w:r>
        <w:t xml:space="preserve"> </w:t>
      </w:r>
      <w:r>
        <w:t xml:space="preserve">OWASP CycloneDX 1.6 CBOM specification; RBI Q-SAFE committee terms of reference; SEBI Cyber Security and</w:t>
      </w:r>
      <w:r>
        <w:t xml:space="preserve"> </w:t>
      </w:r>
      <w:r>
        <w:t xml:space="preserve">Cyber Resilience Framework; US Executive Order 14412 (June 2026); Indian Patent Office CRI Guidelines</w:t>
      </w:r>
      <w:r>
        <w:t xml:space="preserve"> </w:t>
      </w:r>
      <w:r>
        <w:t xml:space="preserve">2025.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1" Target="https://arxiv.org/abs/2409.07852" TargetMode="External" /><Relationship Type="http://schemas.openxmlformats.org/officeDocument/2006/relationships/hyperlink" Id="rId59" Target="https://arxiv.org/abs/2510.10436" TargetMode="External" /><Relationship Type="http://schemas.openxmlformats.org/officeDocument/2006/relationships/hyperlink" Id="rId54" Target="https://arxiv.org/abs/2602.05759" TargetMode="External" /><Relationship Type="http://schemas.openxmlformats.org/officeDocument/2006/relationships/hyperlink" Id="rId58" Target="https://arxiv.org/abs/2603.01091" TargetMode="External" /><Relationship Type="http://schemas.openxmlformats.org/officeDocument/2006/relationships/hyperlink" Id="rId60" Target="https://arxiv.org/abs/2603.06969" TargetMode="External" /><Relationship Type="http://schemas.openxmlformats.org/officeDocument/2006/relationships/hyperlink" Id="rId52" Target="https://arxiv.org/abs/2604.00560" TargetMode="External" /><Relationship Type="http://schemas.openxmlformats.org/officeDocument/2006/relationships/hyperlink" Id="rId53" Target="https://arxiv.org/abs/2606.07341" TargetMode="External" /><Relationship Type="http://schemas.openxmlformats.org/officeDocument/2006/relationships/hyperlink" Id="rId51" Target="https://arxiv.org/abs/2608.04857" TargetMode="External" /><Relationship Type="http://schemas.openxmlformats.org/officeDocument/2006/relationships/hyperlink" Id="rId55" Target="https://eprint.iacr.org/2026/1467" TargetMode="External" /><Relationship Type="http://schemas.openxmlformats.org/officeDocument/2006/relationships/hyperlink" Id="rId57" Target="https://link.springer.com/chapter/10.1007/978-3-032-19567-8_10" TargetMode="External" /><Relationship Type="http://schemas.openxmlformats.org/officeDocument/2006/relationships/hyperlink" Id="rId56" Target="https://research.ibm.com/publications/the-anatomy-of-cryptography-bills-of-materials-standardization-and-practice-in-cyclonedx" TargetMode="External" /><Relationship Type="http://schemas.openxmlformats.org/officeDocument/2006/relationships/hyperlink" Id="rId62" Target="https://www.frontiersin.org/journals/quantum-science-and-technology/articles/10.3389/frqst.2026.1918786/abstrac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s://arxiv.org/abs/2409.07852" TargetMode="External" /><Relationship Type="http://schemas.openxmlformats.org/officeDocument/2006/relationships/hyperlink" Id="rId59" Target="https://arxiv.org/abs/2510.10436" TargetMode="External" /><Relationship Type="http://schemas.openxmlformats.org/officeDocument/2006/relationships/hyperlink" Id="rId54" Target="https://arxiv.org/abs/2602.05759" TargetMode="External" /><Relationship Type="http://schemas.openxmlformats.org/officeDocument/2006/relationships/hyperlink" Id="rId58" Target="https://arxiv.org/abs/2603.01091" TargetMode="External" /><Relationship Type="http://schemas.openxmlformats.org/officeDocument/2006/relationships/hyperlink" Id="rId60" Target="https://arxiv.org/abs/2603.06969" TargetMode="External" /><Relationship Type="http://schemas.openxmlformats.org/officeDocument/2006/relationships/hyperlink" Id="rId52" Target="https://arxiv.org/abs/2604.00560" TargetMode="External" /><Relationship Type="http://schemas.openxmlformats.org/officeDocument/2006/relationships/hyperlink" Id="rId53" Target="https://arxiv.org/abs/2606.07341" TargetMode="External" /><Relationship Type="http://schemas.openxmlformats.org/officeDocument/2006/relationships/hyperlink" Id="rId51" Target="https://arxiv.org/abs/2608.04857" TargetMode="External" /><Relationship Type="http://schemas.openxmlformats.org/officeDocument/2006/relationships/hyperlink" Id="rId55" Target="https://eprint.iacr.org/2026/1467" TargetMode="External" /><Relationship Type="http://schemas.openxmlformats.org/officeDocument/2006/relationships/hyperlink" Id="rId57" Target="https://link.springer.com/chapter/10.1007/978-3-032-19567-8_10" TargetMode="External" /><Relationship Type="http://schemas.openxmlformats.org/officeDocument/2006/relationships/hyperlink" Id="rId56" Target="https://research.ibm.com/publications/the-anatomy-of-cryptography-bills-of-materials-standardization-and-practice-in-cyclonedx" TargetMode="External" /><Relationship Type="http://schemas.openxmlformats.org/officeDocument/2006/relationships/hyperlink" Id="rId62" Target="https://www.frontiersin.org/journals/quantum-science-and-technology/articles/10.3389/frqst.2026.1918786/abstrac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2026-08-21T13:17:11Z</dcterms:created>
  <dcterms:modified xsi:type="dcterms:W3CDTF">2026-08-21T13:17:11Z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