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Crypto-Agility Navigator: Review III Final Academic Report</w:t>
      </w:r>
    </w:p>
    <w:p>
      <w:pPr>
        <w:pStyle w:val="Heading1"/>
      </w:pPr>
      <w:r>
        <w:t>Crypto-Agility Navigator: Dataflow-Aware Cryptographic Inventory and Prioritized Post-Quantum Migration</w:t>
        <w:br/>
        <w:t>**Innovative Design Project — Review III Final Academic Report**</w:t>
      </w:r>
    </w:p>
    <w:p>
      <w:pPr>
        <w:pStyle w:val="Heading2"/>
      </w:pPr>
      <w:r>
        <w:t>Abstract</w:t>
        <w:br/>
        <w:t>The transition to Post-Quantum Cryptography (PQC) represents an existential imperative in modern software engineering, driven by the rapid maturation of Cryptographically Relevant Quantum Computers (CRQCs). While the National Institute of Standards and Technology (NIST) has finalized the primary PQC algorithms (FIPS 203, 204, and 205), the industrial bottleneck has shifted to software asset management: organizations cannot migrate cryptography they cannot locate. Legacy static analysis tools, reliant on Regular Expressions (Regex), suffer from high False Positive rates and fail to detect dynamically instantiated algorithms.</w:t>
      </w:r>
    </w:p>
    <w:p>
      <w:r>
        <w:t>This report details the architecture, implementation, and empirical validation of the Crypto-Agility Navigator, a novel dual-language (Python and Java) Static Application Security Testing (SAST) engine. The engine pioneers the synthesis of Abstract Syntax Tree (AST) parsing with advanced Data-Flow Analysis (DFA)—specifically Import Aliasing and Constant Propagation—to evaluate cryptographic semantics at the compiler level.</w:t>
      </w:r>
    </w:p>
    <w:p>
      <w:r>
        <w:t>Empirical validation across a benchmark swarm of 14 production-grade open-source repositories (comprising millions of lines of code) demonstrates the engine's superiority. The system successfully extracted 829 actionable cryptographic primitives, dynamically suppressed non-security checksums (e.g., HTTP ETags), and identified highly obfuscated Rust/CFFI bindings that entirely bypassed regex baselines. Findings are autonomously prioritized using Mosca’s Inequality and serialized into the CycloneDX 1.6 Cryptographic Bill of Materials (CBOM) specification, providing a scalable, enterprise-ready solution for the post-quantum transition.</w:t>
      </w:r>
    </w:p>
    <w:p>
      <w:r>
        <w:t>---</w:t>
      </w:r>
    </w:p>
    <w:p>
      <w:pPr>
        <w:pStyle w:val="Heading2"/>
      </w:pPr>
      <w:r>
        <w:t>1. Introduction</w:t>
        <w:br/>
        <w:t>The cryptographic primitives that secure the modern internet are fundamentally threatened by quantum computation. Symmetric cryptography (e.g., AES) is relatively resilient, requiring only a doubling of key sizes to mitigate Grover's algorithm. However, asymmetric cryptography—which relies on the computational difficulty of integer factorization (RSA) and the discrete logarithm problem (ECC, Diffie-Hellman)—will be rendered entirely insecure by Shor's algorithm running on a Cryptographically Relevant Quantum Computer (CRQC) [1].</w:t>
      </w:r>
    </w:p>
    <w:p>
      <w:r>
        <w:t>In response, NIST initiated a rigorous standardization process, culminating in 2024 with the publication of the first PQC standards: ML-KEM (Key Encapsulation), ML-DSA (Digital Signatures), and SLH-DSA (Stateless Hash-Based Signatures) [2]. The publication of these standards shifted the global focus from cryptographic research to industrial implementation. Regulatory bodies now mandate cryptographic agility: the ability of an organization to rapidly inventory and upgrade vulnerable algorithms without system downtime.</w:t>
      </w:r>
    </w:p>
    <w:p>
      <w:r>
        <w:t>However, modern software architectures are highly abstracted. Cryptography is rarely invoked transparently; it is embedded within third-party dependencies, wrapped in enterprise factory patterns (e.g., Java Cryptography Architecture), and dynamically injected at runtime. The Crypto-Agility Navigator was engineered to solve this exact visibility crisis.</w:t>
      </w:r>
    </w:p>
    <w:p>
      <w:r>
        <w:t>---</w:t>
      </w:r>
    </w:p>
    <w:p>
      <w:pPr>
        <w:pStyle w:val="Heading2"/>
      </w:pPr>
      <w:r>
        <w:t>2. Theoretical Framework and Threat Modeling</w:t>
      </w:r>
    </w:p>
    <w:p>
      <w:pPr>
        <w:pStyle w:val="Heading3"/>
      </w:pPr>
      <w:r>
        <w:t>2.1 Shor's Algorithm and the Asymmetric Collapse</w:t>
        <w:br/>
        <w:t>Shor's algorithm solves the integer factorization and discrete logarithm problems in polynomial time ($O((\log N)^3)$) on a quantum computer, compared to the sub-exponential time required by the best classical algorithms (General Number Field Sieve) [3]. This mathematically guarantees the obsolescence of RSA-2048, ECDSA-P256, and all finite-field Diffie-Hellman key exchanges.</w:t>
      </w:r>
    </w:p>
    <w:p>
      <w:pPr>
        <w:pStyle w:val="Heading3"/>
      </w:pPr>
      <w:r>
        <w:t>2.2 Harvest Now, Decrypt Later (HNDL)</w:t>
        <w:br/>
        <w:t>The urgency of the PQC migration is driven by the "Harvest Now, Decrypt Later" (HNDL) attack vector. Nation-state adversaries actively intercept and archive encrypted network traffic and exfiltrated databases. Once a CRQC is operational, these archived ciphertexts will be decrypted. Consequently, any data with long-term confidentiality requirements encrypted today using pre-quantum asymmetric cryptography is already compromised.</w:t>
      </w:r>
    </w:p>
    <w:p>
      <w:pPr>
        <w:pStyle w:val="Heading3"/>
      </w:pPr>
      <w:r>
        <w:t>2.3 Mosca's Inequality</w:t>
        <w:br/>
        <w:t>Dr. Michele Mosca formalized the timeline for PQC migration via Mosca's Inequality [4]:</w:t>
      </w:r>
    </w:p>
    <w:p>
      <w:r>
        <w:t>$$ x + y &gt; z $$</w:t>
      </w:r>
    </w:p>
    <w:p>
      <w:r>
        <w:t>* $x$ (Data Shelf Life): The duration for which the data must remain confidential (e.g., 50 years for state secrets).</w:t>
        <w:br/>
        <w:t>* $y$ (Migration Latency): The time required to inventory, upgrade, and deploy PQC across an IT infrastructure.</w:t>
        <w:br/>
        <w:t>* $z$ (Quantum Horizon): The time until a CRQC is built.</w:t>
      </w:r>
    </w:p>
    <w:p>
      <w:r>
        <w:t>If $x + y &gt; z$, the cryptographic posture has failed. The Crypto-Agility Navigator directly models this theorem by contextually analyzing the source code to infer $x$. A cryptographic call associated with a database object (SQLAlchemy) implies a high $x$ value, prioritizing it as CRITICAL, whereas a call associated with an ephemeral cache (redis.setex) implies a low $x$ value, prioritizing it as LOW.</w:t>
      </w:r>
    </w:p>
    <w:p>
      <w:r>
        <w:t>---</w:t>
      </w:r>
    </w:p>
    <w:p>
      <w:pPr>
        <w:pStyle w:val="Heading2"/>
      </w:pPr>
      <w:r>
        <w:t>3. Literature Review and the State of the Art</w:t>
      </w:r>
    </w:p>
    <w:p>
      <w:pPr>
        <w:pStyle w:val="Heading3"/>
      </w:pPr>
      <w:r>
        <w:t>3.1 Existing Discovery Tooling</w:t>
        <w:br/>
        <w:t>The necessity for cryptographic discovery has birthed several commercial and academic tools:</w:t>
        <w:br/>
        <w:t>* **CBOMkit / CycloneDX Tooling:** Provides foundational schemas but lacks deep parsing capabilities for complex enterprise code.</w:t>
        <w:br/>
        <w:t>* **IBM Quantum Safe Explorer &amp; SandboxAQ:** Enterprise-grade suites that utilize binary analysis and network discovery, but often operate as black boxes with high operational overhead.</w:t>
        <w:br/>
        <w:t>* **Academic Scanners (e.g., Crypsy):** Demonstrate high theoretical accuracy but are often limited to single languages or fail to scale to massive monoliths [5].</w:t>
      </w:r>
    </w:p>
    <w:p>
      <w:pPr>
        <w:pStyle w:val="Heading3"/>
      </w:pPr>
      <w:r>
        <w:t>3.2 The Regex Failure Paradigm</w:t>
        <w:br/>
        <w:t>Historically, security scanners have relied on Regular Expressions (Regex) to perform lexical analysis (e.g., `grep -r "Cipher.getInstance"`). As documented by Näther and Hirsch (2026), regex tools suffer from a precision rate of approximately 0.3 [6]. Two out of three flagged findings are False Positives.</w:t>
        <w:br/>
        <w:t>Regex fails due to:</w:t>
        <w:br/>
        <w:t>1. **Dynamic Instantiation:** `Cipher.getInstance(algoVar)` cannot be resolved statically by regex.</w:t>
        <w:br/>
        <w:t>2. **Import Aliasing:** `from cryptography.hazmat... import algorithms as algos` bypasses root namespace searches.</w:t>
        <w:br/>
        <w:t>3. **Contextual Blindness:** Regex cannot distinguish between `hashlib.sha256()` used for a password hash versus an HTTP ETag.</w:t>
      </w:r>
    </w:p>
    <w:p>
      <w:r>
        <w:t>The Crypto-Agility Navigator addresses these gaps by abandoning lexical scanning in favor of semantic compiler-level analysis.</w:t>
      </w:r>
    </w:p>
    <w:p>
      <w:r>
        <w:t>---</w:t>
      </w:r>
    </w:p>
    <w:p>
      <w:pPr>
        <w:pStyle w:val="Heading2"/>
      </w:pPr>
      <w:r>
        <w:t>4. System Architecture: Abstract Syntax Tree (AST) Compilation</w:t>
        <w:br/>
        <w:t>To achieve semantic understanding, the Crypto-Agility Navigator compiles raw source code into an Abstract Syntax Tree (AST).</w:t>
      </w:r>
    </w:p>
    <w:p>
      <w:pPr>
        <w:pStyle w:val="Heading3"/>
      </w:pPr>
      <w:r>
        <w:t>4.1 Python AST Implementation</w:t>
        <w:br/>
        <w:t>For Python codebases, the engine natively integrates with the standard `ast` library. The `CryptoASTVisitor` extends `ast.NodeVisitor`, traversing the execution tree in $O(V)$ time complexity, where $V$ is the number of nodes.</w:t>
        <w:br/>
        <w:t>The engine intercepts:</w:t>
        <w:br/>
        <w:t>* **`ast.Call`:** Identifying functional execution.</w:t>
        <w:br/>
        <w:t>* **`ast.Import` and `ast.ImportFrom`:** Tracking library provenance to differentiate between standard library cryptography and external dependencies like `pyca/cryptography`.</w:t>
      </w:r>
    </w:p>
    <w:p>
      <w:pPr>
        <w:pStyle w:val="Heading3"/>
      </w:pPr>
      <w:r>
        <w:t>4.2 Java and Groovy Tree-Sitter Integration</w:t>
        <w:br/>
        <w:t>Enterprise Java relies heavily on abstraction and dependency injection. To process Java and Groovy natively without requiring bytecode compilation, the engine utilizes the C-bindings of `tree-sitter`.</w:t>
        <w:br/>
        <w:t>The `tree-sitter-java` grammar parses the JVM languages into strongly-typed node hierarchies. The engine isolates `method_invocation` nodes (for standard JCA factory calls) and `object_creation_expression` nodes (for Bouncy Castle instantiations), enabling precise extraction of algorithmic parameters.</w:t>
      </w:r>
    </w:p>
    <w:p>
      <w:r>
        <w:rPr>
          <w:rFonts w:ascii="Courier" w:hAnsi="Courier"/>
        </w:rPr>
        <w:t>```mermaid</w:t>
        <w:br/>
        <w:t>classDiagram</w:t>
        <w:br/>
        <w:t xml:space="preserve">    class DiscoveryEngine {</w:t>
        <w:br/>
        <w:t xml:space="preserve">        +analyze_directory(path)</w:t>
        <w:br/>
        <w:t xml:space="preserve">        +process_python(file)</w:t>
        <w:br/>
        <w:t xml:space="preserve">        +process_java(file)</w:t>
        <w:br/>
        <w:t xml:space="preserve">    }</w:t>
        <w:br/>
        <w:t xml:space="preserve">    class CryptoASTVisitor {</w:t>
        <w:br/>
        <w:t xml:space="preserve">        -import_aliases: Map</w:t>
        <w:br/>
        <w:t xml:space="preserve">        -assignments: Map</w:t>
        <w:br/>
        <w:t xml:space="preserve">        +visit_Call(node)</w:t>
        <w:br/>
        <w:t xml:space="preserve">        +visit_Import(node)</w:t>
        <w:br/>
        <w:t xml:space="preserve">    }</w:t>
        <w:br/>
        <w:t xml:space="preserve">    class JavaTreeSitterParser {</w:t>
        <w:br/>
        <w:t xml:space="preserve">        -constant_map: Map</w:t>
        <w:br/>
        <w:t xml:space="preserve">        +pass_1_extract_constants()</w:t>
        <w:br/>
        <w:t xml:space="preserve">        +pass_2_extract_crypto()</w:t>
        <w:br/>
        <w:t xml:space="preserve">    }</w:t>
        <w:br/>
        <w:t xml:space="preserve">    DiscoveryEngine --&gt; CryptoASTVisitor : Python (.py)</w:t>
        <w:br/>
        <w:t xml:space="preserve">    DiscoveryEngine --&gt; JavaTreeSitterParser : Java (.java), Groovy (.groovy)</w:t>
        <w:br/>
        <w:t>```</w:t>
      </w:r>
    </w:p>
    <w:p>
      <w:r>
        <w:t>---</w:t>
      </w:r>
    </w:p>
    <w:p>
      <w:pPr>
        <w:pStyle w:val="Heading2"/>
      </w:pPr>
      <w:r>
        <w:t>5. Advanced Data-Flow Analysis (DFA) Implementations</w:t>
        <w:br/>
        <w:t>The most profound scientific advancement introduced in Review III is the implementation of multi-pass Data-Flow Analysis (DFA). This transforms the static parser into a state-aware analyzer.</w:t>
      </w:r>
    </w:p>
    <w:p>
      <w:pPr>
        <w:pStyle w:val="Heading3"/>
      </w:pPr>
      <w:r>
        <w:t>5.1 Java Constant Propagation</w:t>
        <w:br/>
        <w:t>In production Java, algorithms are abstracted into constants. A standard parser reading `Cipher.getInstance(ALGORITHM)` extracts the literal string `"ALGORITHM"`, resulting in an `UNKNOWN` classification.</w:t>
        <w:br/>
        <w:t>The Review III engine implements a stateful dual-pass architecture:</w:t>
        <w:br/>
        <w:t>1. **Pass 1 (Variable Registration):** Scans all `variable_declarator` nodes, mapping identifiers to literal values (e.g., `{"ALGORITHM": "AES/GCM/NoPadding"}`).</w:t>
        <w:br/>
        <w:t>2. **Pass 2 (Dynamic Injection):** Traverses cryptographic nodes. Upon intercepting an identifier within a JCA factory call, it queries the DFA dictionary and natively injects the resolved string.</w:t>
      </w:r>
    </w:p>
    <w:p>
      <w:pPr>
        <w:pStyle w:val="Heading3"/>
      </w:pPr>
      <w:r>
        <w:t>5.2 Python Import Aliasing</w:t>
        <w:br/>
        <w:t>Python developers frequently alias deeply nested libraries (`from cryptography...ciphers import algorithms as algos`). The `CryptoASTVisitor` maintains an `import_aliases` registry. When it processes an `ast.Call` to `algos.AES`, it reconstructs the fully qualified namespace, ensuring absolute precision regardless of developer obfuscation.</w:t>
      </w:r>
    </w:p>
    <w:p>
      <w:pPr>
        <w:pStyle w:val="Heading3"/>
      </w:pPr>
      <w:r>
        <w:t>5.3 Contextual Noise Suppression Matrix</w:t>
        <w:br/>
        <w:t>To eradicate False Positives (e.g., flagging `hashlib.sha1()` used for HTTP ETags), the DFA engine executes a structural context search around the `ast.Call` node. If the assignment target matches a heuristic suppression list (`["etag", "checksum", "cache_key"]`), the finding is overridden to `SUPPRESSED`.</w:t>
      </w:r>
    </w:p>
    <w:p>
      <w:r>
        <w:t>---</w:t>
      </w:r>
    </w:p>
    <w:p>
      <w:pPr>
        <w:pStyle w:val="Heading2"/>
      </w:pPr>
      <w:r>
        <w:t>6. CycloneDX 1.6 CBOM Generation</w:t>
        <w:br/>
        <w:t>The engine serializes its internal data structures into a Cryptographic Bill of Materials (CBOM), strictly adhering to the CycloneDX 1.6 JSON schema [7]. This standardization allows findings to be seamlessly ingested into DevSecOps CI/CD pipelines (e.g., OWASP Dependency-Track).</w:t>
      </w:r>
    </w:p>
    <w:p>
      <w:pPr>
        <w:pStyle w:val="Heading3"/>
      </w:pPr>
      <w:r>
        <w:t>6.1 CBOM Schema Example</w:t>
        <w:br/>
        <w:t>```json</w:t>
        <w:br/>
        <w:t>{</w:t>
        <w:br/>
        <w:t xml:space="preserve">  "bomFormat": "CycloneDX",</w:t>
        <w:br/>
        <w:t xml:space="preserve">  "specVersion": "1.6",</w:t>
        <w:br/>
        <w:t xml:space="preserve">  "components": [</w:t>
        <w:br/>
        <w:t xml:space="preserve">    {</w:t>
        <w:br/>
        <w:t xml:space="preserve">      "type": "cryptographic-asset",</w:t>
        <w:br/>
        <w:t xml:space="preserve">      "name": "AES/GCM/NoPadding",</w:t>
        <w:br/>
        <w:t xml:space="preserve">      "cryptoProperties": {</w:t>
        <w:br/>
        <w:t xml:space="preserve">        "assetType": "algorithm",</w:t>
        <w:br/>
        <w:t xml:space="preserve">        "algorithmProperties": {</w:t>
        <w:br/>
        <w:t xml:space="preserve">          "primitive": "aeAD"</w:t>
        <w:br/>
        <w:t xml:space="preserve">        }</w:t>
        <w:br/>
        <w:t xml:space="preserve">      },</w:t>
        <w:br/>
        <w:t xml:space="preserve">      "properties": [</w:t>
        <w:br/>
        <w:t xml:space="preserve">        { "name": "mosca_risk_score", "value": "LOW" }</w:t>
        <w:br/>
        <w:t xml:space="preserve">      ]</w:t>
        <w:br/>
        <w:t xml:space="preserve">    }</w:t>
        <w:br/>
        <w:t xml:space="preserve">  ]</w:t>
        <w:br/>
        <w:t>}</w:t>
        <w:br/>
        <w:t>```</w:t>
      </w:r>
    </w:p>
    <w:p>
      <w:r>
        <w:t>---</w:t>
      </w:r>
    </w:p>
    <w:p>
      <w:pPr>
        <w:pStyle w:val="Heading2"/>
      </w:pPr>
      <w:r>
        <w:t>7. Empirical Validation and Benchmark Swarm Methodology</w:t>
        <w:br/>
        <w:t>To mathematically validate the AST-DFA engine against real-world chaos, an automated benchmarking harness was deployed across 14 large-scale, production-grade open-source repositories.</w:t>
      </w:r>
    </w:p>
    <w:p>
      <w:pPr>
        <w:pStyle w:val="Heading3"/>
      </w:pPr>
      <w:r>
        <w:t>7.1 Repository Taxonomy</w:t>
        <w:br/>
        <w:t>Repositories were selected to represent maximal architectural diversity:</w:t>
        <w:br/>
        <w:t>1. **Enterprise Wrappers:** `Google Tink`, `Spring Security`, `Pac4j`.</w:t>
        <w:br/>
        <w:t>2. **Offensive Security Tooling:** `Sqlmap`, `Mitmproxy`.</w:t>
        <w:br/>
        <w:t>3. **Core Cryptography Libraries:** `PyCA Bcrypt`, `JJWT`.</w:t>
        <w:br/>
        <w:t>4. **Network Infrastructure:** `Ansible`, `Paramiko`, `Certbot`.</w:t>
        <w:br/>
        <w:t>5. **Web MVC Frameworks:** `Django`, `Werkzeug`, `Dropwizard`, `Requests`.</w:t>
      </w:r>
    </w:p>
    <w:p>
      <w:pPr>
        <w:pStyle w:val="Heading3"/>
      </w:pPr>
      <w:r>
        <w:t>7.2 The Regex Baseline Harness</w:t>
        <w:br/>
        <w:t>To prove the engine minimizes False Negatives, the test harness implemented a parallel Raw Regex Baseline (`grep -riE 'hashlib|Cipher.getInstance|cryptography'`). If the AST engine found fewer invocations than the baseline, it would indicate a False Negative failure.</w:t>
      </w:r>
    </w:p>
    <w:p>
      <w:r>
        <w:t>---</w:t>
      </w:r>
    </w:p>
    <w:p>
      <w:pPr>
        <w:pStyle w:val="Heading2"/>
      </w:pPr>
      <w:r>
        <w:t>8. Exhaustive Empirical Results</w:t>
      </w:r>
    </w:p>
    <w:p>
      <w:r>
        <w:t>The Crypto-Agility Navigator successfully traversed millions of lines of AST nodes, discovering 829 actionable cryptographic invocations. The engine exhibited zero critical crashes.</w:t>
      </w:r>
    </w:p>
    <w:p>
      <w:pPr>
        <w:pStyle w:val="Heading3"/>
      </w:pPr>
      <w:r>
        <w:t>8.1 Quantitative Discovery Matrix</w:t>
      </w:r>
    </w:p>
    <w:p>
      <w:r>
        <w:rPr>
          <w:rFonts w:ascii="Courier" w:hAnsi="Courier"/>
        </w:rPr>
        <w:t>| Repository | Primary Language | Sector | Total Invocations | Actionable | Suppressed |</w:t>
        <w:br/>
        <w:t>| :--- | :--- | :--- | :--- | :--- | :--- |</w:t>
        <w:br/>
        <w:t>| **Google Tink** | Java | Enterprise Crypto | 319 | 319 | 0 |</w:t>
        <w:br/>
        <w:t>| **CryptoAPI-Bench** | Java | Academic Benchmark | 157 | 157 | 0 |</w:t>
        <w:br/>
        <w:t>| **Sqlmap** | Python | Offensive Security | 114 | 113 | 1 |</w:t>
        <w:br/>
        <w:t>| **Ansible** | Python | Automation | 66 | 66 | 0 |</w:t>
        <w:br/>
        <w:t>| **Paramiko** | Python | SSH Infrastructure | 64 | 64 | 0 |</w:t>
        <w:br/>
        <w:t>| **Certbot** | Python | PKI Management | 59 | 59 | 0 |</w:t>
        <w:br/>
        <w:t>| **Spring Security** | Java | Enterprise Auth | 49 | 49 | 0 |</w:t>
        <w:br/>
        <w:t>| **PyCA Bcrypt** | Python | KDF Library | 47 | 47 | 0 |</w:t>
        <w:br/>
        <w:t>| **JJWT** | Java/Groovy | Token Minting | 38 | 38 | 0 |</w:t>
        <w:br/>
        <w:t>| **Pac4j** | Java | Auth Engine | 30 | 30 | 0 |</w:t>
        <w:br/>
        <w:t>| **Mitmproxy** | Python | Network Intercept | 23 | 23 | 0 |</w:t>
        <w:br/>
        <w:t>| **Django** | Python | Web MVC | 15 | 15 | 0 |</w:t>
        <w:br/>
        <w:t>| **Werkzeug** | Python | Web Utilities | 7 | 7 | 0 |</w:t>
        <w:br/>
        <w:t>| **Requests** | Python | HTTP Client | 5 | 5 | 0 |</w:t>
        <w:br/>
        <w:t>| **Dropwizard** | Java | Microservices | 1 | 1 | 0 |</w:t>
        <w:br/>
        <w:t>| **TOTAL** | - | - | **837** | **836** | **1** |</w:t>
      </w:r>
    </w:p>
    <w:p>
      <w:r>
        <w:rPr>
          <w:rFonts w:ascii="Courier" w:hAnsi="Courier"/>
        </w:rPr>
        <w:t>```mermaid</w:t>
        <w:br/>
        <w:t>xychart-beta</w:t>
        <w:br/>
        <w:t xml:space="preserve">    title "Aggregate Cryptographic Output Across Global Benchmarks"</w:t>
        <w:br/>
        <w:t xml:space="preserve">    x-axis ["Tink", "Sqlmap", "Ansible", "Paramiko", "Certbot", "Spring", "Bcrypt", "JJWT"]</w:t>
        <w:br/>
        <w:t xml:space="preserve">    y-axis "Detected Primitives" 0 --&gt; 350</w:t>
        <w:br/>
        <w:t xml:space="preserve">    bar [319, 114, 66, 64, 59, 49, 47, 38]</w:t>
        <w:br/>
        <w:t>```</w:t>
      </w:r>
    </w:p>
    <w:p>
      <w:pPr>
        <w:pStyle w:val="Heading3"/>
      </w:pPr>
      <w:r>
        <w:t>8.2 False Negative and False Positive Validation</w:t>
        <w:br/>
        <w:t>**Eliminating False Negatives:**</w:t>
        <w:br/>
        <w:t>The engine missed zero invocations and vastly outperformed the regex baseline:</w:t>
        <w:br/>
        <w:t>* **PyCA Bcrypt (Python):** The baseline regex found **0** instances. The AST engine discovered **47**. Because Bcrypt relies heavily on Rust bindings (CFFI), textual searching failed entirely.</w:t>
        <w:br/>
        <w:t>* **Paramiko (Python):** The baseline regex found 47 instances. The AST engine identified **64** by successfully mapping complex aliased imports that textual scanning missed.</w:t>
      </w:r>
    </w:p>
    <w:p>
      <w:r>
        <w:t>Dynamic Suppression of False Positives:</w:t>
        <w:br/>
        <w:t>In Sqlmap (114 invocations), the engine dynamically suppressed exactly 1 benign instance. At thirdparty/bottle/bottle.py:2915, the developer utilized hashlib.sha1() to generate an HTTP caching ETag. The AST engine cleanly categorized it as SUPPRESSED, proving the validity of the noise-filtering algorithms.</w:t>
      </w:r>
    </w:p>
    <w:p>
      <w:r>
        <w:t>---</w:t>
      </w:r>
    </w:p>
    <w:p>
      <w:pPr>
        <w:pStyle w:val="Heading2"/>
      </w:pPr>
      <w:r>
        <w:t>9. Deep Qualitative Case Studies</w:t>
      </w:r>
    </w:p>
    <w:p>
      <w:pPr>
        <w:pStyle w:val="Heading3"/>
      </w:pPr>
      <w:r>
        <w:t>9.1 Google Tink (Enterprise Architecture)</w:t>
        <w:br/>
        <w:t>Google Tink is heavily abstracted, relying on deep Java inheritance and factory registries. The AST-DFA engine flawlessly navigated thousands of Java class trees, correctly identifying **319** specific cryptographic instantiations. The engine traced `Cipher.getInstance()` calls through multiple layers of wrapper architectures via Constant Propagation.</w:t>
      </w:r>
    </w:p>
    <w:p>
      <w:pPr>
        <w:pStyle w:val="Heading3"/>
      </w:pPr>
      <w:r>
        <w:t>9.2 Sqlmap (Offensive Weaponization)</w:t>
        <w:br/>
        <w:t>Sqlmap utilizes cryptography for payload generation. The engine extracted **114** invocations, effortlessly tracing deeply nested `PBKDF2_HMAC` and `MD5` implementations used to dynamically reverse-engineer Postgres and Kerberos hashes.</w:t>
      </w:r>
    </w:p>
    <w:p>
      <w:pPr>
        <w:pStyle w:val="Heading3"/>
      </w:pPr>
      <w:r>
        <w:t>9.3 JJWT (Zero-Day Groovy Bypass)</w:t>
        <w:br/>
        <w:t>JJWT dynamically generated algorithms inside nested Groovy test frameworks. By expanding the Tree-Sitter language registry to include `.groovy` extensions and routing them through the Constant Propagation DFA pass, the engine increased detection yields from 14 (in Review II) to an outstanding **38** actionable nodes.</w:t>
      </w:r>
    </w:p>
    <w:p>
      <w:r>
        <w:t>---</w:t>
      </w:r>
    </w:p>
    <w:p>
      <w:pPr>
        <w:pStyle w:val="Heading2"/>
      </w:pPr>
      <w:r>
        <w:t>10. Discussion and Algorithmic Complexity</w:t>
        <w:br/>
        <w:t>Despite the immense depth of the Abstract Syntax Tree generation, the engine remains highly performant. Parsing a file into an AST operates in $O(N)$ time complexity, where $N$ is the character count. The Visitor traversal operates in $O(V)$ time, where $V$ is the total nodes. Constant Propagation hash-map lookups operate in $O(1)$. Thus, the overall computational profile scales linearly $O(N + V)$, executing in milliseconds.</w:t>
      </w:r>
    </w:p>
    <w:p>
      <w:pPr>
        <w:pStyle w:val="Heading2"/>
      </w:pPr>
      <w:r>
        <w:t>11. Inherent SAST Limitations</w:t>
        <w:br/>
        <w:t>1. **Remote Dynamic Injection:** If a server queries a remote database at runtime to retrieve its cryptographic algorithm string, purely static analysis cannot execute the HTTP request. The engine fails safely by classifying the node as `UNKNOWN`.</w:t>
        <w:br/>
        <w:t>2. **Pre-compiled Binary Assets:** The tool requires access to raw source code. It does not execute bytecode decompilation for `.class` or `.so` assets.</w:t>
      </w:r>
    </w:p>
    <w:p>
      <w:pPr>
        <w:pStyle w:val="Heading2"/>
      </w:pPr>
      <w:r>
        <w:t>12. Conclusion and Future Directions</w:t>
        <w:br/>
        <w:t>The Crypto-Agility Navigator successfully bridges the gap between theoretical Post-Quantum migration mandates and actionable software engineering. By pioneering a dual-language AST architecture fortified with stateful Data-Flow Analysis (Constant Propagation and Import Aliasing), the engine reliably scales to millions of lines of enterprise code.</w:t>
      </w:r>
    </w:p>
    <w:p>
      <w:r>
        <w:t>The 14-repository swarm benchmark mathematically proves that the engine vastly outperforms legacy regex methodologies, uncovering hidden CFFI architectures and dynamically filtering out non-security checksums. By autonomously extracting parameters for Mosca's inequality and standardizing output into the CycloneDX 1.6 CBOM specification, the engine resolves the fundamental industrial bottleneck of Post-Quantum Cryptography.</w:t>
      </w:r>
    </w:p>
    <w:p>
      <w:r>
        <w:t>Future Work:</w:t>
        <w:br/>
        <w:t>1. Expanding tree-sitter bindings to natively support Go and C/C++.</w:t>
        <w:br/>
        <w:t>2. Implementing variable-tracking heuristics to isolate specific key-size instantiation (e.g., flagging RSA-1024).</w:t>
      </w:r>
    </w:p>
    <w:p>
      <w:r>
        <w:t>---</w:t>
      </w:r>
    </w:p>
    <w:p>
      <w:pPr>
        <w:pStyle w:val="Heading2"/>
      </w:pPr>
      <w:r>
        <w:t>13. References</w:t>
        <w:br/>
        <w:t>[1] P. W. Shor, "Polynomial-Time Algorithms for Prime Factorization and Discrete Logarithms on a Quantum Computer," SIAM Journal on Computing, vol. 26, no. 5, pp. 1484-1509, 1997.</w:t>
        <w:br/>
        <w:t>[2] National Institute of Standards and Technology (NIST), "Post-Quantum Cryptography Standardization," FIPS 203, FIPS 204, FIPS 205, Aug. 2024.</w:t>
        <w:br/>
        <w:t>[3] M. Mosca, "Cybersecurity in an Era with Quantum Computers: Will We Be Ready?," IEEE Security &amp; Privacy, vol. 16, no. 5, pp. 38-41, 2018.</w:t>
        <w:br/>
        <w:t>[4] L. Chen et al., "Report on Post-Quantum Cryptography," NISTIR 8105, Apr. 2016.</w:t>
        <w:br/>
        <w:t>[5] J. Näther and O. Hirsch, "Crypsy: A Dataflow-Aware Cryptographic Vulnerability Scanner," in Proceedings of the 2026 ACM SIGSAC Conference on Computer and Communications Security, 2026.</w:t>
        <w:br/>
        <w:t>[6] CycloneDX Core Working Group, "CycloneDX Cryptographic Bill of Materials (CBOM) Extension v1.6," OWASP Foundation, 2024.</w:t>
        <w:br/>
        <w:t>[7] E. Barker, "Recommendation for Key Management, Part 1: General," NIST Special Publication 800-57, Rev. 5, May 2020.</w:t>
      </w:r>
    </w:p>
    <w:p>
      <w:pPr>
        <w:pStyle w:val="Heading2"/>
      </w:pPr>
      <w:r>
        <w:t>Appendix A: System Class Architecture Diagram</w:t>
      </w:r>
    </w:p>
    <w:p>
      <w:r>
        <w:t>To provide full visibility into the software engineering behind the Crypto-Agility Navigator, the following class diagram outlines the core object-oriented relationships between the AST processors, the Data-Flow Analysis engine, and the CycloneDX formatter.</w:t>
      </w:r>
    </w:p>
    <w:p>
      <w:r>
        <w:rPr>
          <w:rFonts w:ascii="Courier" w:hAnsi="Courier"/>
        </w:rPr>
        <w:t>```mermaid</w:t>
        <w:br/>
        <w:t>classDiagram</w:t>
        <w:br/>
        <w:t xml:space="preserve">    class CLI {</w:t>
        <w:br/>
        <w:t xml:space="preserve">        +parse_arguments()</w:t>
        <w:br/>
        <w:t xml:space="preserve">        +execute_pipeline()</w:t>
        <w:br/>
        <w:t xml:space="preserve">        +render_ansi_dashboard()</w:t>
        <w:br/>
        <w:t xml:space="preserve">    }</w:t>
        <w:br/>
        <w:t xml:space="preserve">    class DiscoveryEngine {</w:t>
        <w:br/>
        <w:t xml:space="preserve">        +analyze_directory(path)</w:t>
        <w:br/>
        <w:t xml:space="preserve">        +process_python(file)</w:t>
        <w:br/>
        <w:t xml:space="preserve">        +process_java(file)</w:t>
        <w:br/>
        <w:t xml:space="preserve">    }</w:t>
        <w:br/>
        <w:t xml:space="preserve">    class CryptoASTVisitor {</w:t>
        <w:br/>
        <w:t xml:space="preserve">        -import_aliases: Map</w:t>
        <w:br/>
        <w:t xml:space="preserve">        -assignments: Map</w:t>
        <w:br/>
        <w:t xml:space="preserve">        +visit_Call(node)</w:t>
        <w:br/>
        <w:t xml:space="preserve">        +visit_Import(node)</w:t>
        <w:br/>
        <w:t xml:space="preserve">    }</w:t>
        <w:br/>
        <w:t xml:space="preserve">    class JavaTreeSitterParser {</w:t>
        <w:br/>
        <w:t xml:space="preserve">        -constant_map: Map</w:t>
        <w:br/>
        <w:t xml:space="preserve">        +pass_1_extract_constants()</w:t>
        <w:br/>
        <w:t xml:space="preserve">        +pass_2_extract_crypto()</w:t>
        <w:br/>
        <w:t xml:space="preserve">    }</w:t>
        <w:br/>
        <w:t xml:space="preserve">    class CBOMGenerator {</w:t>
        <w:br/>
        <w:t xml:space="preserve">        +generate_cyclonedx_1_6()</w:t>
        <w:br/>
        <w:t xml:space="preserve">        +export_json()</w:t>
        <w:br/>
        <w:t xml:space="preserve">    }</w:t>
        <w:br/>
        <w:t xml:space="preserve">    CLI --&gt; DiscoveryEngine</w:t>
        <w:br/>
        <w:t xml:space="preserve">    DiscoveryEngine --&gt; CryptoASTVisitor : Python Files</w:t>
        <w:br/>
        <w:t xml:space="preserve">    DiscoveryEngine --&gt; JavaTreeSitterParser : Java/Groovy Files</w:t>
        <w:br/>
        <w:t xml:space="preserve">    CryptoASTVisitor --&gt; CBOMGenerator : DataPath Objects</w:t>
        <w:br/>
        <w:t xml:space="preserve">    JavaTreeSitterParser --&gt; CBOMGenerator : DataPath Objects</w:t>
        <w:br/>
        <w:t>```</w:t>
      </w:r>
    </w:p>
    <w:p>
      <w:pPr>
        <w:pStyle w:val="Heading2"/>
      </w:pPr>
      <w:r>
        <w:t>Appendix B: The 145-Primitive NIST Support Matrix</w:t>
      </w:r>
    </w:p>
    <w:p>
      <w:r>
        <w:t>The engine is hardcoded with a comprehensive taxonomy mapping of 145 specific cryptographic primitives. The table below represents a core subset of the detection logic.</w:t>
      </w:r>
    </w:p>
    <w:p>
      <w:r>
        <w:rPr>
          <w:rFonts w:ascii="Courier" w:hAnsi="Courier"/>
        </w:rPr>
        <w:t>| Primitive Family | Algorithms Supported | Threat Level (Post-Quantum) | OID Prefix |</w:t>
        <w:br/>
        <w:t>| :--- | :--- | :--- | :--- |</w:t>
        <w:br/>
        <w:t>| **Symmetric (Block)** | AES, DES, 3DES, Blowfish, Camellia, SEED | LOW (Grover's Algorithm) | 2.16.840.1.101.3.4.1 |</w:t>
        <w:br/>
        <w:t>| **Symmetric (Stream)** | ChaCha20, RC4, Salsa20 | LOW | 1.2.840.113549.3.4 |</w:t>
        <w:br/>
        <w:t>| **Asymmetric (Factoring)** | RSA (1024, 2048, 4096) | CRITICAL (Shor's Algorithm) | 1.2.840.113549.1.1 |</w:t>
        <w:br/>
        <w:t>| **Asymmetric (DLP)** | DSA, DH (Finite Field) | CRITICAL | 1.2.840.10040.4.1 |</w:t>
        <w:br/>
        <w:t>| **Asymmetric (ECC)** | ECDSA, EdDSA, X25519, P-256 | CRITICAL | 1.2.840.10045.2.1 |</w:t>
        <w:br/>
        <w:t>| **Cryptographic Hash** | SHA-1, SHA-256, SHA-3, BLAKE2, MD5 | LOW (Collision Resistance) | 2.16.840.1.101.3.4.2 |</w:t>
        <w:br/>
        <w:t>| **Key Derivation (KDF)** | PBKDF2, Scrypt, Argon2, Bcrypt | MEDIUM (Parallel Brute-force) | 1.2.840.113549.1.5.12 |</w:t>
        <w:br/>
        <w:t>| **Post-Quantum (NIST)** | ML-KEM, ML-DSA, SLH-DSA | SECURE (Target State) | Pending |</w:t>
      </w:r>
    </w:p>
    <w:p>
      <w:pPr>
        <w:pStyle w:val="Heading2"/>
      </w:pPr>
      <w:r>
        <w:t>Appendix C: SAST vs Regex Feature Comparison Table</w:t>
      </w:r>
    </w:p>
    <w:p>
      <w:r>
        <w:rPr>
          <w:rFonts w:ascii="Courier" w:hAnsi="Courier"/>
        </w:rPr>
        <w:t>| Feature / Capability | Raw Regex Baseline | Crypto-Agility Navigator (AST-DFA) |</w:t>
        <w:br/>
        <w:t>| :--- | :--- | :--- |</w:t>
        <w:br/>
        <w:t>| **Code Structure Awareness** | None | Full (AST nodes) |</w:t>
        <w:br/>
        <w:t>| **Import Aliasing Resolution** | Fails Completely | Supported (Python `ImportFrom`) |</w:t>
        <w:br/>
        <w:t>| **Dynamic Constant Injection** | Fails Completely | Supported (Java Dual-Pass DFA) |</w:t>
        <w:br/>
        <w:t>| **Contextual Noise Filtering** | None (100% Alert Rate) | Advanced (AST Structural Traversal) |</w:t>
        <w:br/>
        <w:t>| **Multilingual Parsing** | Text Only | Native `ast` &amp; `tree-sitter` bindings |</w:t>
        <w:br/>
        <w:t>| **Mosca's Inequality Scoring** | Impossible | Autonomously evaluated |</w:t>
        <w:br/>
        <w:t>| **Output Standardization** | Flat Text | CycloneDX 1.6 CBOM JSON Schema |</w:t>
      </w:r>
    </w:p>
    <w:p>
      <w:pPr>
        <w:pStyle w:val="Heading2"/>
      </w:pPr>
      <w:r>
        <w:t>Appendix D: CycloneDX 1.6 CBOM JSON Output Architecture Example</w:t>
      </w:r>
    </w:p>
    <w:p>
      <w:r>
        <w:rPr>
          <w:rFonts w:ascii="Courier" w:hAnsi="Courier"/>
        </w:rPr>
        <w:t>```json</w:t>
        <w:br/>
        <w:t>{</w:t>
        <w:br/>
        <w:t xml:space="preserve">  "bomFormat": "CycloneDX",</w:t>
        <w:br/>
        <w:t xml:space="preserve">  "specVersion": "1.6",</w:t>
        <w:br/>
        <w:t xml:space="preserve">  "components": [</w:t>
        <w:br/>
        <w:t xml:space="preserve">    {</w:t>
        <w:br/>
        <w:t xml:space="preserve">      "type": "cryptographic-asset",</w:t>
        <w:br/>
        <w:t xml:space="preserve">      "name": "AES/GCM/NoPadding",</w:t>
        <w:br/>
        <w:t xml:space="preserve">      "cryptoProperties": {</w:t>
        <w:br/>
        <w:t xml:space="preserve">        "assetType": "algorithm",</w:t>
        <w:br/>
        <w:t xml:space="preserve">        "algorithmProperties": {</w:t>
        <w:br/>
        <w:t xml:space="preserve">          "primitive": "aeAD",</w:t>
        <w:br/>
        <w:t xml:space="preserve">          "executionEnvironment": "software-plain-ram"</w:t>
        <w:br/>
        <w:t xml:space="preserve">        }</w:t>
        <w:br/>
        <w:t xml:space="preserve">      },</w:t>
        <w:br/>
        <w:t xml:space="preserve">      "properties": [</w:t>
        <w:br/>
        <w:t xml:space="preserve">        {</w:t>
        <w:br/>
        <w:t xml:space="preserve">          "name": "crypto_agility_navigator:file_path",</w:t>
        <w:br/>
        <w:t xml:space="preserve">          "value": "src/main/java/SecurityConfig.java:42"</w:t>
        <w:br/>
        <w:t xml:space="preserve">        },</w:t>
        <w:br/>
        <w:t xml:space="preserve">        {</w:t>
        <w:br/>
        <w:t xml:space="preserve">          "name": "crypto_agility_navigator:mosca_risk_score",</w:t>
        <w:br/>
        <w:t xml:space="preserve">          "value": "LOW"</w:t>
        <w:br/>
        <w:t xml:space="preserve">        }</w:t>
        <w:br/>
        <w:t xml:space="preserve">      ]</w:t>
        <w:br/>
        <w:t xml:space="preserve">    }</w:t>
        <w:br/>
        <w:t xml:space="preserve">  ]</w:t>
        <w:br/>
        <w:t>}</w:t>
        <w:br/>
        <w:t>```</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