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Blockchain-Based Carbon Credit Trading System</w:t>
      </w:r>
    </w:p>
    <w:p>
      <w:pPr>
        <w:jc w:val="center"/>
      </w:pPr>
      <w:r>
        <w:rPr>
          <w:i/>
          <w:sz w:val="28"/>
        </w:rPr>
        <w:t>Digital Assignment 1 (DA1) — Blockchain Technology</w:t>
      </w:r>
    </w:p>
    <w:p>
      <w:pPr>
        <w:jc w:val="center"/>
      </w:pPr>
      <w:r>
        <w:rPr>
          <w:b/>
          <w:color w:val="2A9D8F"/>
          <w:sz w:val="24"/>
        </w:rPr>
        <w:t>SDG 13 — Climate Action  |  Supporting SDG 7 &amp; SDG 12</w:t>
      </w:r>
    </w:p>
    <w:p/>
    <w:p>
      <w:pPr>
        <w:pStyle w:val="Heading1"/>
      </w:pPr>
      <w:r>
        <w:rPr>
          <w:color w:val="1F3A5F"/>
        </w:rPr>
        <w:t>1. Problem Statement, Objectives, and Scope</w:t>
      </w:r>
    </w:p>
    <w:p>
      <w:pPr>
        <w:pStyle w:val="Heading2"/>
      </w:pPr>
      <w:r>
        <w:rPr>
          <w:color w:val="1F3A5F"/>
        </w:rPr>
        <w:t>1.1 Problem Statement</w:t>
      </w:r>
    </w:p>
    <w:p>
      <w:r>
        <w:rPr>
          <w:b w:val="0"/>
          <w:i w:val="0"/>
          <w:sz w:val="22"/>
        </w:rPr>
        <w:t>Carbon credits are a market-based instrument to fight climate change: one credit represents the right to emit one tonne of CO2, and organisations that cut emissions can sell surplus credits to those exceeding their limits. In practice the market is undermined by four structural failures:</w:t>
      </w:r>
    </w:p>
    <w:p>
      <w:pPr>
        <w:pStyle w:val="ListBullet"/>
      </w:pPr>
      <w:r>
        <w:t>Double-counting - the same credit is sold to multiple buyers because registries are siloed and never reconcile.</w:t>
      </w:r>
    </w:p>
    <w:p>
      <w:pPr>
        <w:pStyle w:val="ListBullet"/>
      </w:pPr>
      <w:r>
        <w:t>Opacity - buyers, regulators and the public cannot verify that a credit is genuine or that the green project delivered.</w:t>
      </w:r>
    </w:p>
    <w:p>
      <w:pPr>
        <w:pStyle w:val="ListBullet"/>
      </w:pPr>
      <w:r>
        <w:t>Fraud &amp; 'phantom credits' - credits issued for projects that never existed or overstate impact, with no tamper-proof record.</w:t>
      </w:r>
    </w:p>
    <w:p>
      <w:pPr>
        <w:pStyle w:val="ListBullet"/>
      </w:pPr>
      <w:r>
        <w:t>Slow, costly verification - manual, paper-based intermediaries take weeks to months and inflate cost.</w:t>
      </w:r>
    </w:p>
    <w:p>
      <w:r>
        <w:rPr>
          <w:b w:val="0"/>
          <w:i w:val="0"/>
          <w:sz w:val="22"/>
        </w:rPr>
        <w:t>These failures erode trust in the mechanism meant to accelerate climate action, letting continued emissions be 'offset' by credits that deliver no real environmental benefit.</w:t>
      </w:r>
    </w:p>
    <w:p>
      <w:pPr>
        <w:pStyle w:val="Heading2"/>
      </w:pPr>
      <w:r>
        <w:rPr>
          <w:color w:val="1F3A5F"/>
        </w:rPr>
        <w:t>1.2 Objectives</w:t>
      </w:r>
    </w:p>
    <w:p>
      <w:pPr>
        <w:pStyle w:val="ListBullet"/>
      </w:pPr>
      <w:r>
        <w:t>O1. Tokenise carbon credits as unique, non-duplicable digital assets, each with a single traceable identity.</w:t>
      </w:r>
    </w:p>
    <w:p>
      <w:pPr>
        <w:pStyle w:val="ListBullet"/>
      </w:pPr>
      <w:r>
        <w:t>O2. Automate issuance, transfer and permanent retirement (burning) via smart contracts, eliminating double-counting by design.</w:t>
      </w:r>
    </w:p>
    <w:p>
      <w:pPr>
        <w:pStyle w:val="ListBullet"/>
      </w:pPr>
      <w:r>
        <w:t>O3. Provide a transparent, immutable, publicly auditable ledger of every credit's full lifecycle.</w:t>
      </w:r>
    </w:p>
    <w:p>
      <w:pPr>
        <w:pStyle w:val="ListBullet"/>
      </w:pPr>
      <w:r>
        <w:t>O4. Reduce dependence on intermediaries, lowering verification time and transaction cost.</w:t>
      </w:r>
    </w:p>
    <w:p>
      <w:pPr>
        <w:pStyle w:val="ListBullet"/>
      </w:pPr>
      <w:r>
        <w:t>O5. Enforce role-based authorisation (developer, verifier, buyer, regulator) so only legitimate actors issue or approve credits.</w:t>
      </w:r>
    </w:p>
    <w:p>
      <w:pPr>
        <w:pStyle w:val="Heading2"/>
      </w:pPr>
      <w:r>
        <w:rPr>
          <w:color w:val="1F3A5F"/>
        </w:rPr>
        <w:t>1.3 Scope</w:t>
      </w:r>
    </w:p>
    <w:p>
      <w:r>
        <w:rPr>
          <w:b/>
          <w:i w:val="0"/>
          <w:sz w:val="22"/>
        </w:rPr>
        <w:t xml:space="preserve">In scope: </w:t>
      </w:r>
      <w:r>
        <w:t>a decentralised application (DApp) on Ethereum; an ERC-20 token for fungible credits; a marketplace contract for listing/buying; a retirement contract for permanent burning; role-based access control; IPFS storage for project documents; and a public verification dashboard.</w:t>
      </w:r>
    </w:p>
    <w:p>
      <w:r>
        <w:rPr>
          <w:b/>
          <w:i w:val="0"/>
          <w:sz w:val="22"/>
        </w:rPr>
        <w:t xml:space="preserve">Out of scope (DA1): </w:t>
      </w:r>
      <w:r>
        <w:t>live integration with government registries, legally binding settlement, real-money on-ramps, and ML-based impact estimation. DA1 covers problem framing, literature, blockchain justification, architecture and project plan - not implementation.</w:t>
      </w:r>
    </w:p>
    <w:p>
      <w:pPr>
        <w:pStyle w:val="Heading2"/>
      </w:pPr>
      <w:r>
        <w:rPr>
          <w:color w:val="1F3A5F"/>
        </w:rPr>
        <w:t>1.4 SDG Alignment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SDG</w:t>
            </w:r>
          </w:p>
        </w:tc>
        <w:tc>
          <w:tcPr>
            <w:tcW w:type="dxa" w:w="4320"/>
          </w:tcPr>
          <w:p>
            <w:r/>
            <w:r>
              <w:rPr>
                <w:b/>
                <w:sz w:val="20"/>
              </w:rPr>
              <w:t>Contribution</w:t>
            </w:r>
          </w:p>
        </w:tc>
      </w:tr>
      <w:tr>
        <w:tc>
          <w:tcPr>
            <w:tcW w:type="dxa" w:w="4320"/>
          </w:tcPr>
          <w:p>
            <w:r/>
            <w:r>
              <w:rPr>
                <w:sz w:val="19"/>
              </w:rPr>
              <w:t>SDG 13 - Climate Action (primary)</w:t>
            </w:r>
          </w:p>
        </w:tc>
        <w:tc>
          <w:tcPr>
            <w:tcW w:type="dxa" w:w="4320"/>
          </w:tcPr>
          <w:p>
            <w:r/>
            <w:r>
              <w:rPr>
                <w:sz w:val="19"/>
              </w:rPr>
              <w:t>Restores integrity to carbon markets so offsets fund real emission reductions.</w:t>
            </w:r>
          </w:p>
        </w:tc>
      </w:tr>
      <w:tr>
        <w:tc>
          <w:tcPr>
            <w:tcW w:type="dxa" w:w="4320"/>
          </w:tcPr>
          <w:p>
            <w:r/>
            <w:r>
              <w:rPr>
                <w:sz w:val="19"/>
              </w:rPr>
              <w:t>SDG 7 - Affordable &amp; Clean Energy</w:t>
            </w:r>
          </w:p>
        </w:tc>
        <w:tc>
          <w:tcPr>
            <w:tcW w:type="dxa" w:w="4320"/>
          </w:tcPr>
          <w:p>
            <w:r/>
            <w:r>
              <w:rPr>
                <w:sz w:val="19"/>
              </w:rPr>
              <w:t>Renewable-energy credits gain a trustworthy, tradable value.</w:t>
            </w:r>
          </w:p>
        </w:tc>
      </w:tr>
      <w:tr>
        <w:tc>
          <w:tcPr>
            <w:tcW w:type="dxa" w:w="4320"/>
          </w:tcPr>
          <w:p>
            <w:r/>
            <w:r>
              <w:rPr>
                <w:sz w:val="19"/>
              </w:rPr>
              <w:t>SDG 12 - Responsible Consumption</w:t>
            </w:r>
          </w:p>
        </w:tc>
        <w:tc>
          <w:tcPr>
            <w:tcW w:type="dxa" w:w="4320"/>
          </w:tcPr>
          <w:p>
            <w:r/>
            <w:r>
              <w:rPr>
                <w:sz w:val="19"/>
              </w:rPr>
              <w:t>Transparent tracking discourages greenwashing and rewards sustainable producers.</w:t>
            </w:r>
          </w:p>
        </w:tc>
      </w:tr>
    </w:tbl>
    <w:p>
      <w:pPr>
        <w:pStyle w:val="Heading1"/>
      </w:pPr>
      <w:r>
        <w:rPr>
          <w:color w:val="1F3A5F"/>
        </w:rPr>
        <w:t>2. Literature Survey and Research Gap</w:t>
      </w:r>
    </w:p>
    <w:p>
      <w:pPr>
        <w:pStyle w:val="Heading2"/>
      </w:pPr>
      <w:r>
        <w:rPr>
          <w:color w:val="1F3A5F"/>
        </w:rPr>
        <w:t>2.1 Survey of Existing Work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Work / System</w:t>
            </w:r>
          </w:p>
        </w:tc>
        <w:tc>
          <w:tcPr>
            <w:tcW w:type="dxa" w:w="2880"/>
          </w:tcPr>
          <w:p>
            <w:r/>
            <w:r>
              <w:rPr>
                <w:b/>
                <w:sz w:val="20"/>
              </w:rPr>
              <w:t>Contribution</w:t>
            </w:r>
          </w:p>
        </w:tc>
        <w:tc>
          <w:tcPr>
            <w:tcW w:type="dxa" w:w="2880"/>
          </w:tcPr>
          <w:p>
            <w:r/>
            <w:r>
              <w:rPr>
                <w:b/>
                <w:sz w:val="20"/>
              </w:rPr>
              <w:t>Limitation</w:t>
            </w:r>
          </w:p>
        </w:tc>
      </w:tr>
      <w:tr>
        <w:tc>
          <w:tcPr>
            <w:tcW w:type="dxa" w:w="2880"/>
          </w:tcPr>
          <w:p>
            <w:r/>
            <w:r>
              <w:rPr>
                <w:sz w:val="19"/>
              </w:rPr>
              <w:t>Toucan Protocol</w:t>
            </w:r>
          </w:p>
        </w:tc>
        <w:tc>
          <w:tcPr>
            <w:tcW w:type="dxa" w:w="2880"/>
          </w:tcPr>
          <w:p>
            <w:r/>
            <w:r>
              <w:rPr>
                <w:sz w:val="19"/>
              </w:rPr>
              <w:t>Bridges off-chain credits onto Ethereum; on-chain retirement.</w:t>
            </w:r>
          </w:p>
        </w:tc>
        <w:tc>
          <w:tcPr>
            <w:tcW w:type="dxa" w:w="2880"/>
          </w:tcPr>
          <w:p>
            <w:r/>
            <w:r>
              <w:rPr>
                <w:sz w:val="19"/>
              </w:rPr>
              <w:t>Trusts the off-chain bridge; tokenised low-quality legacy credits.</w:t>
            </w:r>
          </w:p>
        </w:tc>
      </w:tr>
      <w:tr>
        <w:tc>
          <w:tcPr>
            <w:tcW w:type="dxa" w:w="2880"/>
          </w:tcPr>
          <w:p>
            <w:r/>
            <w:r>
              <w:rPr>
                <w:sz w:val="19"/>
              </w:rPr>
              <w:t>KlimaDAO</w:t>
            </w:r>
          </w:p>
        </w:tc>
        <w:tc>
          <w:tcPr>
            <w:tcW w:type="dxa" w:w="2880"/>
          </w:tcPr>
          <w:p>
            <w:r/>
            <w:r>
              <w:rPr>
                <w:sz w:val="19"/>
              </w:rPr>
              <w:t>Uses tokenised credits as a treasury asset to raise carbon price.</w:t>
            </w:r>
          </w:p>
        </w:tc>
        <w:tc>
          <w:tcPr>
            <w:tcW w:type="dxa" w:w="2880"/>
          </w:tcPr>
          <w:p>
            <w:r/>
            <w:r>
              <w:rPr>
                <w:sz w:val="19"/>
              </w:rPr>
              <w:t>Speculative/financial focus, not verification integrity.</w:t>
            </w:r>
          </w:p>
        </w:tc>
      </w:tr>
      <w:tr>
        <w:tc>
          <w:tcPr>
            <w:tcW w:type="dxa" w:w="2880"/>
          </w:tcPr>
          <w:p>
            <w:r/>
            <w:r>
              <w:rPr>
                <w:sz w:val="19"/>
              </w:rPr>
              <w:t>IBM &amp; Energy Web pilots</w:t>
            </w:r>
          </w:p>
        </w:tc>
        <w:tc>
          <w:tcPr>
            <w:tcW w:type="dxa" w:w="2880"/>
          </w:tcPr>
          <w:p>
            <w:r/>
            <w:r>
              <w:rPr>
                <w:sz w:val="19"/>
              </w:rPr>
              <w:t>Enterprise permissioned blockchain for emissions tracking.</w:t>
            </w:r>
          </w:p>
        </w:tc>
        <w:tc>
          <w:tcPr>
            <w:tcW w:type="dxa" w:w="2880"/>
          </w:tcPr>
          <w:p>
            <w:r/>
            <w:r>
              <w:rPr>
                <w:sz w:val="19"/>
              </w:rPr>
              <w:t>Not publicly auditable; consortium-only.</w:t>
            </w:r>
          </w:p>
        </w:tc>
      </w:tr>
      <w:tr>
        <w:tc>
          <w:tcPr>
            <w:tcW w:type="dxa" w:w="2880"/>
          </w:tcPr>
          <w:p>
            <w:r/>
            <w:r>
              <w:rPr>
                <w:sz w:val="19"/>
              </w:rPr>
              <w:t>Verra / Gold Standard</w:t>
            </w:r>
          </w:p>
        </w:tc>
        <w:tc>
          <w:tcPr>
            <w:tcW w:type="dxa" w:w="2880"/>
          </w:tcPr>
          <w:p>
            <w:r/>
            <w:r>
              <w:rPr>
                <w:sz w:val="19"/>
              </w:rPr>
              <w:t>Established methodologies and human verification.</w:t>
            </w:r>
          </w:p>
        </w:tc>
        <w:tc>
          <w:tcPr>
            <w:tcW w:type="dxa" w:w="2880"/>
          </w:tcPr>
          <w:p>
            <w:r/>
            <w:r>
              <w:rPr>
                <w:sz w:val="19"/>
              </w:rPr>
              <w:t>Centralised, siloed; double-counting and slow settlement persist.</w:t>
            </w:r>
          </w:p>
        </w:tc>
      </w:tr>
      <w:tr>
        <w:tc>
          <w:tcPr>
            <w:tcW w:type="dxa" w:w="2880"/>
          </w:tcPr>
          <w:p>
            <w:r/>
            <w:r>
              <w:rPr>
                <w:sz w:val="19"/>
              </w:rPr>
              <w:t>Academic surveys 2019-23</w:t>
            </w:r>
          </w:p>
        </w:tc>
        <w:tc>
          <w:tcPr>
            <w:tcW w:type="dxa" w:w="2880"/>
          </w:tcPr>
          <w:p>
            <w:r/>
            <w:r>
              <w:rPr>
                <w:sz w:val="19"/>
              </w:rPr>
              <w:t>Propose smart-contract trading; prove feasibility.</w:t>
            </w:r>
          </w:p>
        </w:tc>
        <w:tc>
          <w:tcPr>
            <w:tcW w:type="dxa" w:w="2880"/>
          </w:tcPr>
          <w:p>
            <w:r/>
            <w:r>
              <w:rPr>
                <w:sz w:val="19"/>
              </w:rPr>
              <w:t>Mostly conceptual; rarely model the full mint-trade-retire lifecycle.</w:t>
            </w:r>
          </w:p>
        </w:tc>
      </w:tr>
      <w:tr>
        <w:tc>
          <w:tcPr>
            <w:tcW w:type="dxa" w:w="2880"/>
          </w:tcPr>
          <w:p>
            <w:r/>
            <w:r>
              <w:rPr>
                <w:sz w:val="19"/>
              </w:rPr>
              <w:t>EU ETS / economic models</w:t>
            </w:r>
          </w:p>
        </w:tc>
        <w:tc>
          <w:tcPr>
            <w:tcW w:type="dxa" w:w="2880"/>
          </w:tcPr>
          <w:p>
            <w:r/>
            <w:r>
              <w:rPr>
                <w:sz w:val="19"/>
              </w:rPr>
              <w:t>Model emission-trading schemes economically.</w:t>
            </w:r>
          </w:p>
        </w:tc>
        <w:tc>
          <w:tcPr>
            <w:tcW w:type="dxa" w:w="2880"/>
          </w:tcPr>
          <w:p>
            <w:r/>
            <w:r>
              <w:rPr>
                <w:sz w:val="19"/>
              </w:rPr>
              <w:t>Do not address the technical trust layer.</w:t>
            </w:r>
          </w:p>
        </w:tc>
      </w:tr>
    </w:tbl>
    <w:p>
      <w:pPr>
        <w:pStyle w:val="Heading2"/>
      </w:pPr>
      <w:r>
        <w:rPr>
          <w:color w:val="1F3A5F"/>
        </w:rPr>
        <w:t>2.2 Identified Research Gap</w:t>
      </w:r>
    </w:p>
    <w:p>
      <w:pPr>
        <w:pStyle w:val="ListBullet"/>
      </w:pPr>
      <w:r>
        <w:t>G1 - Fragmented lifecycle: few solutions enforce the entire lifecycle (a credit cannot be sold after retirement).</w:t>
      </w:r>
    </w:p>
    <w:p>
      <w:pPr>
        <w:pStyle w:val="ListBullet"/>
      </w:pPr>
      <w:r>
        <w:t>G2 - Weak off-chain/on-chain trust anchoring: bridged credits inherit legacy-registry flaws; verifier attestations and IPFS evidence are rarely bound to each token.</w:t>
      </w:r>
    </w:p>
    <w:p>
      <w:pPr>
        <w:pStyle w:val="ListBullet"/>
      </w:pPr>
      <w:r>
        <w:t>G3 - Missing role-based governance on a public chain: transparency and strict on-chain role control seldom coexist.</w:t>
      </w:r>
    </w:p>
    <w:p>
      <w:r>
        <w:rPr>
          <w:b/>
          <w:i w:val="0"/>
          <w:sz w:val="22"/>
        </w:rPr>
        <w:t>This project addresses G1-G3 by designing one public-Ethereum system that enforces the full lifecycle in contract logic, anchors verifier attestations and IPFS hashes to every token, and layers role-based access control over a fully transparent ledger.</w:t>
      </w:r>
    </w:p>
    <w:p>
      <w:pPr>
        <w:pStyle w:val="Heading1"/>
      </w:pPr>
      <w:r>
        <w:rPr>
          <w:color w:val="1F3A5F"/>
        </w:rPr>
        <w:t>3. Blockchain Suitability - Why Ethereum?</w:t>
      </w:r>
    </w:p>
    <w:p>
      <w:pPr>
        <w:pStyle w:val="Heading2"/>
      </w:pPr>
      <w:r>
        <w:rPr>
          <w:color w:val="1F3A5F"/>
        </w:rPr>
        <w:t>3.1 Is blockchain even needed?</w:t>
      </w:r>
    </w:p>
    <w:p>
      <w:r>
        <w:rPr>
          <w:b w:val="0"/>
          <w:i w:val="0"/>
          <w:sz w:val="22"/>
        </w:rPr>
        <w:t>Blockchain is justified only when multiple non-trusting parties share data, no single authority should control it, an immutable audit trail is required, and disintermediation adds value. Carbon trading satisfies all four: polluters, developers, verifiers, regulators and the public do not fully trust each other; the record must be tamper-proof; and removing slow intermediaries is a core objective. A single-registry database is exactly the status quo that failed.</w:t>
      </w:r>
    </w:p>
    <w:p>
      <w:pPr>
        <w:pStyle w:val="Heading2"/>
      </w:pPr>
      <w:r>
        <w:rPr>
          <w:color w:val="1F3A5F"/>
        </w:rPr>
        <w:t>3.2 Ethereum vs Hyperledger Fabric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Criterion</w:t>
            </w:r>
          </w:p>
        </w:tc>
        <w:tc>
          <w:tcPr>
            <w:tcW w:type="dxa" w:w="2880"/>
          </w:tcPr>
          <w:p>
            <w:r/>
            <w:r>
              <w:rPr>
                <w:b/>
                <w:sz w:val="20"/>
              </w:rPr>
              <w:t>Ethereum (public)</w:t>
            </w:r>
          </w:p>
        </w:tc>
        <w:tc>
          <w:tcPr>
            <w:tcW w:type="dxa" w:w="2880"/>
          </w:tcPr>
          <w:p>
            <w:r/>
            <w:r>
              <w:rPr>
                <w:b/>
                <w:sz w:val="20"/>
              </w:rPr>
              <w:t>Hyperledger Fabric (permissioned)</w:t>
            </w:r>
          </w:p>
        </w:tc>
      </w:tr>
      <w:tr>
        <w:tc>
          <w:tcPr>
            <w:tcW w:type="dxa" w:w="2880"/>
          </w:tcPr>
          <w:p>
            <w:r/>
            <w:r>
              <w:rPr>
                <w:sz w:val="19"/>
              </w:rPr>
              <w:t>Access</w:t>
            </w:r>
          </w:p>
        </w:tc>
        <w:tc>
          <w:tcPr>
            <w:tcW w:type="dxa" w:w="2880"/>
          </w:tcPr>
          <w:p>
            <w:r/>
            <w:r>
              <w:rPr>
                <w:sz w:val="19"/>
              </w:rPr>
              <w:t>Permissionless - anyone can verify</w:t>
            </w:r>
          </w:p>
        </w:tc>
        <w:tc>
          <w:tcPr>
            <w:tcW w:type="dxa" w:w="2880"/>
          </w:tcPr>
          <w:p>
            <w:r/>
            <w:r>
              <w:rPr>
                <w:sz w:val="19"/>
              </w:rPr>
              <w:t>Permissioned - invited members only</w:t>
            </w:r>
          </w:p>
        </w:tc>
      </w:tr>
      <w:tr>
        <w:tc>
          <w:tcPr>
            <w:tcW w:type="dxa" w:w="2880"/>
          </w:tcPr>
          <w:p>
            <w:r/>
            <w:r>
              <w:rPr>
                <w:sz w:val="19"/>
              </w:rPr>
              <w:t>Public auditability</w:t>
            </w:r>
          </w:p>
        </w:tc>
        <w:tc>
          <w:tcPr>
            <w:tcW w:type="dxa" w:w="2880"/>
          </w:tcPr>
          <w:p>
            <w:r/>
            <w:r>
              <w:rPr>
                <w:sz w:val="19"/>
              </w:rPr>
              <w:t>Full (essential here)</w:t>
            </w:r>
          </w:p>
        </w:tc>
        <w:tc>
          <w:tcPr>
            <w:tcW w:type="dxa" w:w="2880"/>
          </w:tcPr>
          <w:p>
            <w:r/>
            <w:r>
              <w:rPr>
                <w:sz w:val="19"/>
              </w:rPr>
              <w:t>Limited to consortium</w:t>
            </w:r>
          </w:p>
        </w:tc>
      </w:tr>
      <w:tr>
        <w:tc>
          <w:tcPr>
            <w:tcW w:type="dxa" w:w="2880"/>
          </w:tcPr>
          <w:p>
            <w:r/>
            <w:r>
              <w:rPr>
                <w:sz w:val="19"/>
              </w:rPr>
              <w:t>Native tokenisation</w:t>
            </w:r>
          </w:p>
        </w:tc>
        <w:tc>
          <w:tcPr>
            <w:tcW w:type="dxa" w:w="2880"/>
          </w:tcPr>
          <w:p>
            <w:r/>
            <w:r>
              <w:rPr>
                <w:sz w:val="19"/>
              </w:rPr>
              <w:t>First-class (ERC-20/721)</w:t>
            </w:r>
          </w:p>
        </w:tc>
        <w:tc>
          <w:tcPr>
            <w:tcW w:type="dxa" w:w="2880"/>
          </w:tcPr>
          <w:p>
            <w:r/>
            <w:r>
              <w:rPr>
                <w:sz w:val="19"/>
              </w:rPr>
              <w:t>Requires custom chaincode</w:t>
            </w:r>
          </w:p>
        </w:tc>
      </w:tr>
      <w:tr>
        <w:tc>
          <w:tcPr>
            <w:tcW w:type="dxa" w:w="2880"/>
          </w:tcPr>
          <w:p>
            <w:r/>
            <w:r>
              <w:rPr>
                <w:sz w:val="19"/>
              </w:rPr>
              <w:t>Trust model</w:t>
            </w:r>
          </w:p>
        </w:tc>
        <w:tc>
          <w:tcPr>
            <w:tcW w:type="dxa" w:w="2880"/>
          </w:tcPr>
          <w:p>
            <w:r/>
            <w:r>
              <w:rPr>
                <w:sz w:val="19"/>
              </w:rPr>
              <w:t>Trustless, decentralised</w:t>
            </w:r>
          </w:p>
        </w:tc>
        <w:tc>
          <w:tcPr>
            <w:tcW w:type="dxa" w:w="2880"/>
          </w:tcPr>
          <w:p>
            <w:r/>
            <w:r>
              <w:rPr>
                <w:sz w:val="19"/>
              </w:rPr>
              <w:t>Trust among known members</w:t>
            </w:r>
          </w:p>
        </w:tc>
      </w:tr>
      <w:tr>
        <w:tc>
          <w:tcPr>
            <w:tcW w:type="dxa" w:w="2880"/>
          </w:tcPr>
          <w:p>
            <w:r/>
            <w:r>
              <w:rPr>
                <w:sz w:val="19"/>
              </w:rPr>
              <w:t>Cost</w:t>
            </w:r>
          </w:p>
        </w:tc>
        <w:tc>
          <w:tcPr>
            <w:tcW w:type="dxa" w:w="2880"/>
          </w:tcPr>
          <w:p>
            <w:r/>
            <w:r>
              <w:rPr>
                <w:sz w:val="19"/>
              </w:rPr>
              <w:t>Gas fees (mitigable via L2)</w:t>
            </w:r>
          </w:p>
        </w:tc>
        <w:tc>
          <w:tcPr>
            <w:tcW w:type="dxa" w:w="2880"/>
          </w:tcPr>
          <w:p>
            <w:r/>
            <w:r>
              <w:rPr>
                <w:sz w:val="19"/>
              </w:rPr>
              <w:t>No gas, but infra cost</w:t>
            </w:r>
          </w:p>
        </w:tc>
      </w:tr>
      <w:tr>
        <w:tc>
          <w:tcPr>
            <w:tcW w:type="dxa" w:w="2880"/>
          </w:tcPr>
          <w:p>
            <w:r/>
            <w:r>
              <w:rPr>
                <w:sz w:val="19"/>
              </w:rPr>
              <w:t>Throughput</w:t>
            </w:r>
          </w:p>
        </w:tc>
        <w:tc>
          <w:tcPr>
            <w:tcW w:type="dxa" w:w="2880"/>
          </w:tcPr>
          <w:p>
            <w:r/>
            <w:r>
              <w:rPr>
                <w:sz w:val="19"/>
              </w:rPr>
              <w:t>Lower on L1, high on L2</w:t>
            </w:r>
          </w:p>
        </w:tc>
        <w:tc>
          <w:tcPr>
            <w:tcW w:type="dxa" w:w="2880"/>
          </w:tcPr>
          <w:p>
            <w:r/>
            <w:r>
              <w:rPr>
                <w:sz w:val="19"/>
              </w:rPr>
              <w:t>High</w:t>
            </w:r>
          </w:p>
        </w:tc>
      </w:tr>
    </w:tbl>
    <w:p>
      <w:pPr>
        <w:pStyle w:val="Heading2"/>
      </w:pPr>
      <w:r>
        <w:rPr>
          <w:color w:val="1F3A5F"/>
        </w:rPr>
        <w:t>3.3 Decision: Ethereum</w:t>
      </w:r>
    </w:p>
    <w:p>
      <w:pPr>
        <w:pStyle w:val="ListBullet"/>
      </w:pPr>
      <w:r>
        <w:t>Public verifiability matches the goal of exposing fraud and double-counting to anyone.</w:t>
      </w:r>
    </w:p>
    <w:p>
      <w:pPr>
        <w:pStyle w:val="ListBullet"/>
      </w:pPr>
      <w:r>
        <w:t>Mature ERC-20/721 standards map directly onto 'one credit = one non-duplicable token'.</w:t>
      </w:r>
    </w:p>
    <w:p>
      <w:pPr>
        <w:pStyle w:val="ListBullet"/>
      </w:pPr>
      <w:r>
        <w:t>Largest smart-contract ecosystem (Solidity, OpenZeppelin, MetaMask, testnets) speeds and hardens development.</w:t>
      </w:r>
    </w:p>
    <w:p>
      <w:pPr>
        <w:pStyle w:val="ListBullet"/>
      </w:pPr>
      <w:r>
        <w:t>Layer-2 scaling (Polygon, Arbitrum) neutralises the gas-cost objection for production.</w:t>
      </w:r>
    </w:p>
    <w:p>
      <w:r>
        <w:rPr>
          <w:b w:val="0"/>
          <w:i/>
          <w:sz w:val="22"/>
        </w:rPr>
        <w:t>Hyperledger would be preferable only if credits were traded privately among a fixed, known set of corporations - which contradicts the public-accountability objective of this project.</w:t>
      </w:r>
    </w:p>
    <w:p>
      <w:pPr>
        <w:pStyle w:val="Heading1"/>
      </w:pPr>
      <w:r>
        <w:rPr>
          <w:color w:val="1F3A5F"/>
        </w:rPr>
        <w:t>4. System Architecture, Workflow, and Design</w:t>
      </w:r>
    </w:p>
    <w:p>
      <w:pPr>
        <w:pStyle w:val="Heading2"/>
      </w:pPr>
      <w:r>
        <w:rPr>
          <w:color w:val="1F3A5F"/>
        </w:rPr>
        <w:t>4.1 System Architecture (four layers)</w:t>
      </w:r>
    </w:p>
    <w:p>
      <w:pPr>
        <w:pStyle w:val="ListBullet"/>
      </w:pPr>
      <w:r>
        <w:t>Presentation Layer - React web DApp, MetaMask wallet, verifier/regulator dashboard.</w:t>
      </w:r>
    </w:p>
    <w:p>
      <w:pPr>
        <w:pStyle w:val="ListBullet"/>
      </w:pPr>
      <w:r>
        <w:t>Application/API Layer - Node.js REST API, auth &amp; role manager, off-chain oracle adapter.</w:t>
      </w:r>
    </w:p>
    <w:p>
      <w:pPr>
        <w:pStyle w:val="ListBullet"/>
      </w:pPr>
      <w:r>
        <w:t>Blockchain Layer (Ethereum) - CreditToken (ERC-20), Marketplace, Retirement/Burn contracts.</w:t>
      </w:r>
    </w:p>
    <w:p>
      <w:pPr>
        <w:pStyle w:val="ListBullet"/>
      </w:pPr>
      <w:r>
        <w:t>Storage Layer - on-chain ledger, IPFS for documents (hash on-chain), off-chain DB cache.</w:t>
      </w:r>
    </w:p>
    <w:p>
      <w:r>
        <w:drawing>
          <wp:inline xmlns:a="http://schemas.openxmlformats.org/drawingml/2006/main" xmlns:pic="http://schemas.openxmlformats.org/drawingml/2006/picture">
            <wp:extent cx="5760720" cy="3946181"/>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946181"/>
                    </a:xfrm>
                    <a:prstGeom prst="rect"/>
                  </pic:spPr>
                </pic:pic>
              </a:graphicData>
            </a:graphic>
          </wp:inline>
        </w:drawing>
      </w:r>
    </w:p>
    <w:p>
      <w:pPr>
        <w:pStyle w:val="Heading2"/>
      </w:pPr>
      <w:r>
        <w:rPr>
          <w:color w:val="1F3A5F"/>
        </w:rPr>
        <w:t>4.2 Workflow - Carbon Credit Lifecycle</w:t>
      </w:r>
    </w:p>
    <w:p>
      <w:r>
        <w:rPr>
          <w:b w:val="0"/>
          <w:i w:val="0"/>
          <w:sz w:val="22"/>
        </w:rPr>
        <w:t>Register green project -&gt; verifier approves (attestation + IPFS hash anchored) -&gt; credits minted as tokens -&gt; company buys credits -&gt; company retires/burns credits -&gt; permanent public audit trail. A retired credit can never be resold, structurally eliminating double-counting.</w:t>
      </w:r>
    </w:p>
    <w:p>
      <w:r>
        <w:drawing>
          <wp:inline xmlns:a="http://schemas.openxmlformats.org/drawingml/2006/main" xmlns:pic="http://schemas.openxmlformats.org/drawingml/2006/picture">
            <wp:extent cx="5760720" cy="2673362"/>
            <wp:docPr id="2" name="Picture 2"/>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760720" cy="2673362"/>
                    </a:xfrm>
                    <a:prstGeom prst="rect"/>
                  </pic:spPr>
                </pic:pic>
              </a:graphicData>
            </a:graphic>
          </wp:inline>
        </w:drawing>
      </w:r>
    </w:p>
    <w:p>
      <w:pPr>
        <w:pStyle w:val="Heading2"/>
      </w:pPr>
      <w:r>
        <w:rPr>
          <w:color w:val="1F3A5F"/>
        </w:rPr>
        <w:t>4.3 Sequence - Buy &amp; Retire a Credit</w:t>
      </w:r>
    </w:p>
    <w:p>
      <w:r>
        <w:drawing>
          <wp:inline xmlns:a="http://schemas.openxmlformats.org/drawingml/2006/main" xmlns:pic="http://schemas.openxmlformats.org/drawingml/2006/picture">
            <wp:extent cx="5486400" cy="3271706"/>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5486400" cy="3271706"/>
                    </a:xfrm>
                    <a:prstGeom prst="rect"/>
                  </pic:spPr>
                </pic:pic>
              </a:graphicData>
            </a:graphic>
          </wp:inline>
        </w:drawing>
      </w:r>
    </w:p>
    <w:p>
      <w:pPr>
        <w:pStyle w:val="Heading2"/>
      </w:pPr>
      <w:r>
        <w:rPr>
          <w:color w:val="1F3A5F"/>
        </w:rPr>
        <w:t>4.4 Key Design Decisions</w:t>
      </w:r>
    </w:p>
    <w:p>
      <w:pPr>
        <w:pStyle w:val="ListBullet"/>
      </w:pPr>
      <w:r>
        <w:t>ERC-20 for fungible credits; optional ERC-721 to bind a unique project identity + metadata.</w:t>
      </w:r>
    </w:p>
    <w:p>
      <w:pPr>
        <w:pStyle w:val="ListBullet"/>
      </w:pPr>
      <w:r>
        <w:t>OpenZeppelin AccessControl for the four roles.</w:t>
      </w:r>
    </w:p>
    <w:p>
      <w:pPr>
        <w:pStyle w:val="ListBullet"/>
      </w:pPr>
      <w:r>
        <w:t>IPFS content-addressing keeps large files off-chain while the hash guarantees integrity on-chain.</w:t>
      </w:r>
    </w:p>
    <w:p>
      <w:pPr>
        <w:pStyle w:val="ListBullet"/>
      </w:pPr>
      <w:r>
        <w:t>Retirement = irreversible burn, enforced in contract logic so double-spend is impossible.</w:t>
      </w:r>
    </w:p>
    <w:p>
      <w:pPr>
        <w:pStyle w:val="Heading1"/>
      </w:pPr>
      <w:r>
        <w:rPr>
          <w:color w:val="1F3A5F"/>
        </w:rPr>
        <w:t>5. Project Planning - Timeline, Milestones, Feasibility</w:t>
      </w:r>
    </w:p>
    <w:p>
      <w:pPr>
        <w:pStyle w:val="Heading2"/>
      </w:pPr>
      <w:r>
        <w:rPr>
          <w:color w:val="1F3A5F"/>
        </w:rPr>
        <w:t>5.1 Timeline &amp; Milestones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Phase</w:t>
            </w:r>
          </w:p>
        </w:tc>
        <w:tc>
          <w:tcPr>
            <w:tcW w:type="dxa" w:w="2880"/>
          </w:tcPr>
          <w:p>
            <w:r/>
            <w:r>
              <w:rPr>
                <w:b/>
                <w:sz w:val="20"/>
              </w:rPr>
              <w:t>Weeks</w:t>
            </w:r>
          </w:p>
        </w:tc>
        <w:tc>
          <w:tcPr>
            <w:tcW w:type="dxa" w:w="2880"/>
          </w:tcPr>
          <w:p>
            <w:r/>
            <w:r>
              <w:rPr>
                <w:b/>
                <w:sz w:val="20"/>
              </w:rPr>
              <w:t>Milestone / Deliverable</w:t>
            </w:r>
          </w:p>
        </w:tc>
      </w:tr>
      <w:tr>
        <w:tc>
          <w:tcPr>
            <w:tcW w:type="dxa" w:w="2880"/>
          </w:tcPr>
          <w:p>
            <w:r/>
            <w:r>
              <w:rPr>
                <w:sz w:val="19"/>
              </w:rPr>
              <w:t>Requirement analysis &amp; literature survey</w:t>
            </w:r>
          </w:p>
        </w:tc>
        <w:tc>
          <w:tcPr>
            <w:tcW w:type="dxa" w:w="2880"/>
          </w:tcPr>
          <w:p>
            <w:r/>
            <w:r>
              <w:rPr>
                <w:sz w:val="19"/>
              </w:rPr>
              <w:t>W0-W2</w:t>
            </w:r>
          </w:p>
        </w:tc>
        <w:tc>
          <w:tcPr>
            <w:tcW w:type="dxa" w:w="2880"/>
          </w:tcPr>
          <w:p>
            <w:r/>
            <w:r>
              <w:rPr>
                <w:sz w:val="19"/>
              </w:rPr>
              <w:t>Finalised problem statement &amp; survey (DA1)</w:t>
            </w:r>
          </w:p>
        </w:tc>
      </w:tr>
      <w:tr>
        <w:tc>
          <w:tcPr>
            <w:tcW w:type="dxa" w:w="2880"/>
          </w:tcPr>
          <w:p>
            <w:r/>
            <w:r>
              <w:rPr>
                <w:sz w:val="19"/>
              </w:rPr>
              <w:t>System design &amp; architecture</w:t>
            </w:r>
          </w:p>
        </w:tc>
        <w:tc>
          <w:tcPr>
            <w:tcW w:type="dxa" w:w="2880"/>
          </w:tcPr>
          <w:p>
            <w:r/>
            <w:r>
              <w:rPr>
                <w:sz w:val="19"/>
              </w:rPr>
              <w:t>W1-W3</w:t>
            </w:r>
          </w:p>
        </w:tc>
        <w:tc>
          <w:tcPr>
            <w:tcW w:type="dxa" w:w="2880"/>
          </w:tcPr>
          <w:p>
            <w:r/>
            <w:r>
              <w:rPr>
                <w:sz w:val="19"/>
              </w:rPr>
              <w:t>Architecture + design diagrams (DA1)</w:t>
            </w:r>
          </w:p>
        </w:tc>
      </w:tr>
      <w:tr>
        <w:tc>
          <w:tcPr>
            <w:tcW w:type="dxa" w:w="2880"/>
          </w:tcPr>
          <w:p>
            <w:r/>
            <w:r>
              <w:rPr>
                <w:sz w:val="19"/>
              </w:rPr>
              <w:t>Smart-contract development (Solidity)</w:t>
            </w:r>
          </w:p>
        </w:tc>
        <w:tc>
          <w:tcPr>
            <w:tcW w:type="dxa" w:w="2880"/>
          </w:tcPr>
          <w:p>
            <w:r/>
            <w:r>
              <w:rPr>
                <w:sz w:val="19"/>
              </w:rPr>
              <w:t>W3-W6</w:t>
            </w:r>
          </w:p>
        </w:tc>
        <w:tc>
          <w:tcPr>
            <w:tcW w:type="dxa" w:w="2880"/>
          </w:tcPr>
          <w:p>
            <w:r/>
            <w:r>
              <w:rPr>
                <w:sz w:val="19"/>
              </w:rPr>
              <w:t>Deployed CreditToken, Marketplace, Retirement</w:t>
            </w:r>
          </w:p>
        </w:tc>
      </w:tr>
      <w:tr>
        <w:tc>
          <w:tcPr>
            <w:tcW w:type="dxa" w:w="2880"/>
          </w:tcPr>
          <w:p>
            <w:r/>
            <w:r>
              <w:rPr>
                <w:sz w:val="19"/>
              </w:rPr>
              <w:t>Frontend DApp + Web3 integration</w:t>
            </w:r>
          </w:p>
        </w:tc>
        <w:tc>
          <w:tcPr>
            <w:tcW w:type="dxa" w:w="2880"/>
          </w:tcPr>
          <w:p>
            <w:r/>
            <w:r>
              <w:rPr>
                <w:sz w:val="19"/>
              </w:rPr>
              <w:t>W4-W7</w:t>
            </w:r>
          </w:p>
        </w:tc>
        <w:tc>
          <w:tcPr>
            <w:tcW w:type="dxa" w:w="2880"/>
          </w:tcPr>
          <w:p>
            <w:r/>
            <w:r>
              <w:rPr>
                <w:sz w:val="19"/>
              </w:rPr>
              <w:t>Working DApp connected to MetaMask</w:t>
            </w:r>
          </w:p>
        </w:tc>
      </w:tr>
      <w:tr>
        <w:tc>
          <w:tcPr>
            <w:tcW w:type="dxa" w:w="2880"/>
          </w:tcPr>
          <w:p>
            <w:r/>
            <w:r>
              <w:rPr>
                <w:sz w:val="19"/>
              </w:rPr>
              <w:t>Oracle / IPFS integration</w:t>
            </w:r>
          </w:p>
        </w:tc>
        <w:tc>
          <w:tcPr>
            <w:tcW w:type="dxa" w:w="2880"/>
          </w:tcPr>
          <w:p>
            <w:r/>
            <w:r>
              <w:rPr>
                <w:sz w:val="19"/>
              </w:rPr>
              <w:t>W6-W8</w:t>
            </w:r>
          </w:p>
        </w:tc>
        <w:tc>
          <w:tcPr>
            <w:tcW w:type="dxa" w:w="2880"/>
          </w:tcPr>
          <w:p>
            <w:r/>
            <w:r>
              <w:rPr>
                <w:sz w:val="19"/>
              </w:rPr>
              <w:t>Off-chain evidence anchored on-chain</w:t>
            </w:r>
          </w:p>
        </w:tc>
      </w:tr>
      <w:tr>
        <w:tc>
          <w:tcPr>
            <w:tcW w:type="dxa" w:w="2880"/>
          </w:tcPr>
          <w:p>
            <w:r/>
            <w:r>
              <w:rPr>
                <w:sz w:val="19"/>
              </w:rPr>
              <w:t>Testing on testnet (Sepolia)</w:t>
            </w:r>
          </w:p>
        </w:tc>
        <w:tc>
          <w:tcPr>
            <w:tcW w:type="dxa" w:w="2880"/>
          </w:tcPr>
          <w:p>
            <w:r/>
            <w:r>
              <w:rPr>
                <w:sz w:val="19"/>
              </w:rPr>
              <w:t>W7-W9</w:t>
            </w:r>
          </w:p>
        </w:tc>
        <w:tc>
          <w:tcPr>
            <w:tcW w:type="dxa" w:w="2880"/>
          </w:tcPr>
          <w:p>
            <w:r/>
            <w:r>
              <w:rPr>
                <w:sz w:val="19"/>
              </w:rPr>
              <w:t>End-to-end lifecycle demo</w:t>
            </w:r>
          </w:p>
        </w:tc>
      </w:tr>
      <w:tr>
        <w:tc>
          <w:tcPr>
            <w:tcW w:type="dxa" w:w="2880"/>
          </w:tcPr>
          <w:p>
            <w:r/>
            <w:r>
              <w:rPr>
                <w:sz w:val="19"/>
              </w:rPr>
              <w:t>Security audit &amp; gas optimisation</w:t>
            </w:r>
          </w:p>
        </w:tc>
        <w:tc>
          <w:tcPr>
            <w:tcW w:type="dxa" w:w="2880"/>
          </w:tcPr>
          <w:p>
            <w:r/>
            <w:r>
              <w:rPr>
                <w:sz w:val="19"/>
              </w:rPr>
              <w:t>W9-W10</w:t>
            </w:r>
          </w:p>
        </w:tc>
        <w:tc>
          <w:tcPr>
            <w:tcW w:type="dxa" w:w="2880"/>
          </w:tcPr>
          <w:p>
            <w:r/>
            <w:r>
              <w:rPr>
                <w:sz w:val="19"/>
              </w:rPr>
              <w:t>Audit report, optimised contracts</w:t>
            </w:r>
          </w:p>
        </w:tc>
      </w:tr>
      <w:tr>
        <w:tc>
          <w:tcPr>
            <w:tcW w:type="dxa" w:w="2880"/>
          </w:tcPr>
          <w:p>
            <w:r/>
            <w:r>
              <w:rPr>
                <w:sz w:val="19"/>
              </w:rPr>
              <w:t>Documentation &amp; final demo</w:t>
            </w:r>
          </w:p>
        </w:tc>
        <w:tc>
          <w:tcPr>
            <w:tcW w:type="dxa" w:w="2880"/>
          </w:tcPr>
          <w:p>
            <w:r/>
            <w:r>
              <w:rPr>
                <w:sz w:val="19"/>
              </w:rPr>
              <w:t>W9-W11</w:t>
            </w:r>
          </w:p>
        </w:tc>
        <w:tc>
          <w:tcPr>
            <w:tcW w:type="dxa" w:w="2880"/>
          </w:tcPr>
          <w:p>
            <w:r/>
            <w:r>
              <w:rPr>
                <w:sz w:val="19"/>
              </w:rPr>
              <w:t>Final report + presentation</w:t>
            </w:r>
          </w:p>
        </w:tc>
      </w:tr>
    </w:tbl>
    <w:p>
      <w:r>
        <w:drawing>
          <wp:inline xmlns:a="http://schemas.openxmlformats.org/drawingml/2006/main" xmlns:pic="http://schemas.openxmlformats.org/drawingml/2006/picture">
            <wp:extent cx="5760720" cy="3107595"/>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760720" cy="3107595"/>
                    </a:xfrm>
                    <a:prstGeom prst="rect"/>
                  </pic:spPr>
                </pic:pic>
              </a:graphicData>
            </a:graphic>
          </wp:inline>
        </w:drawing>
      </w:r>
    </w:p>
    <w:p>
      <w:pPr>
        <w:pStyle w:val="Heading2"/>
      </w:pPr>
      <w:r>
        <w:rPr>
          <w:color w:val="1F3A5F"/>
        </w:rPr>
        <w:t>5.2 Feasibility Analysis</w:t>
      </w:r>
    </w:p>
    <w:p>
      <w:pPr>
        <w:pStyle w:val="ListBullet"/>
      </w:pPr>
      <w:r>
        <w:t>Technical - High. Mature open-source stack: Solidity + OpenZeppelin, Hardhat, React + Web3.js, MetaMask, Sepolia, IPFS.</w:t>
      </w:r>
    </w:p>
    <w:p>
      <w:pPr>
        <w:pStyle w:val="ListBullet"/>
      </w:pPr>
      <w:r>
        <w:t>Economic - High. Free testnets and open-source tooling; production gas mitigated via Layer-2.</w:t>
      </w:r>
    </w:p>
    <w:p>
      <w:pPr>
        <w:pStyle w:val="ListBullet"/>
      </w:pPr>
      <w:r>
        <w:t>Operational - Medium. Needs accredited verifiers and regulator buy-in; complements existing registries.</w:t>
      </w:r>
    </w:p>
    <w:p>
      <w:pPr>
        <w:pStyle w:val="ListBullet"/>
      </w:pPr>
      <w:r>
        <w:t>Schedule - High. The 11-week plan fits a single semester with incremental milestones.</w:t>
      </w:r>
    </w:p>
    <w:p>
      <w:pPr>
        <w:pStyle w:val="Heading2"/>
      </w:pPr>
      <w:r>
        <w:rPr>
          <w:color w:val="1F3A5F"/>
        </w:rPr>
        <w:t>5.3 Risks &amp; Mitigation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Risk</w:t>
            </w:r>
          </w:p>
        </w:tc>
        <w:tc>
          <w:tcPr>
            <w:tcW w:type="dxa" w:w="4320"/>
          </w:tcPr>
          <w:p>
            <w:r/>
            <w:r>
              <w:rPr>
                <w:b/>
                <w:sz w:val="20"/>
              </w:rPr>
              <w:t>Mitigation</w:t>
            </w:r>
          </w:p>
        </w:tc>
      </w:tr>
      <w:tr>
        <w:tc>
          <w:tcPr>
            <w:tcW w:type="dxa" w:w="4320"/>
          </w:tcPr>
          <w:p>
            <w:r/>
            <w:r>
              <w:rPr>
                <w:sz w:val="19"/>
              </w:rPr>
              <w:t>Off-chain data falsified before minting ('garbage in')</w:t>
            </w:r>
          </w:p>
        </w:tc>
        <w:tc>
          <w:tcPr>
            <w:tcW w:type="dxa" w:w="4320"/>
          </w:tcPr>
          <w:p>
            <w:r/>
            <w:r>
              <w:rPr>
                <w:sz w:val="19"/>
              </w:rPr>
              <w:t>Multiple independent verifier attestations; IPFS-anchored evidence.</w:t>
            </w:r>
          </w:p>
        </w:tc>
      </w:tr>
      <w:tr>
        <w:tc>
          <w:tcPr>
            <w:tcW w:type="dxa" w:w="4320"/>
          </w:tcPr>
          <w:p>
            <w:r/>
            <w:r>
              <w:rPr>
                <w:sz w:val="19"/>
              </w:rPr>
              <w:t>High L1 gas fees</w:t>
            </w:r>
          </w:p>
        </w:tc>
        <w:tc>
          <w:tcPr>
            <w:tcW w:type="dxa" w:w="4320"/>
          </w:tcPr>
          <w:p>
            <w:r/>
            <w:r>
              <w:rPr>
                <w:sz w:val="19"/>
              </w:rPr>
              <w:t>Deploy on Layer-2; batch operations.</w:t>
            </w:r>
          </w:p>
        </w:tc>
      </w:tr>
      <w:tr>
        <w:tc>
          <w:tcPr>
            <w:tcW w:type="dxa" w:w="4320"/>
          </w:tcPr>
          <w:p>
            <w:r/>
            <w:r>
              <w:rPr>
                <w:sz w:val="19"/>
              </w:rPr>
              <w:t>Smart-contract vulnerabilities</w:t>
            </w:r>
          </w:p>
        </w:tc>
        <w:tc>
          <w:tcPr>
            <w:tcW w:type="dxa" w:w="4320"/>
          </w:tcPr>
          <w:p>
            <w:r/>
            <w:r>
              <w:rPr>
                <w:sz w:val="19"/>
              </w:rPr>
              <w:t>Audited OpenZeppelin libraries; Slither static analysis + testnet audit.</w:t>
            </w:r>
          </w:p>
        </w:tc>
      </w:tr>
      <w:tr>
        <w:tc>
          <w:tcPr>
            <w:tcW w:type="dxa" w:w="4320"/>
          </w:tcPr>
          <w:p>
            <w:r/>
            <w:r>
              <w:rPr>
                <w:sz w:val="19"/>
              </w:rPr>
              <w:t>Regulatory acceptance</w:t>
            </w:r>
          </w:p>
        </w:tc>
        <w:tc>
          <w:tcPr>
            <w:tcW w:type="dxa" w:w="4320"/>
          </w:tcPr>
          <w:p>
            <w:r/>
            <w:r>
              <w:rPr>
                <w:sz w:val="19"/>
              </w:rPr>
              <w:t>Position as interoperable transparency layer over existing registries.</w:t>
            </w:r>
          </w:p>
        </w:tc>
      </w:tr>
    </w:tbl>
    <w:p>
      <w:pPr>
        <w:pStyle w:val="Heading1"/>
      </w:pPr>
      <w:r>
        <w:rPr>
          <w:color w:val="1F3A5F"/>
        </w:rPr>
        <w:t>References (indicative)</w:t>
      </w:r>
    </w:p>
    <w:p>
      <w:pPr>
        <w:pStyle w:val="ListNumber"/>
      </w:pPr>
      <w:r>
        <w:t>Toucan Protocol - Bridging carbon credits on-chain (documentation).</w:t>
      </w:r>
    </w:p>
    <w:p>
      <w:pPr>
        <w:pStyle w:val="ListNumber"/>
      </w:pPr>
      <w:r>
        <w:t>KlimaDAO - Tokenised carbon as a reserve asset (whitepaper).</w:t>
      </w:r>
    </w:p>
    <w:p>
      <w:pPr>
        <w:pStyle w:val="ListNumber"/>
      </w:pPr>
      <w:r>
        <w:t>IBM &amp; Energy Web Foundation - Enterprise carbon-tracking pilots.</w:t>
      </w:r>
    </w:p>
    <w:p>
      <w:pPr>
        <w:pStyle w:val="ListNumber"/>
      </w:pPr>
      <w:r>
        <w:t>Verra &amp; Gold Standard - Carbon credit verification methodologies.</w:t>
      </w:r>
    </w:p>
    <w:p>
      <w:pPr>
        <w:pStyle w:val="ListNumber"/>
      </w:pPr>
      <w:r>
        <w:t>Survey papers on Blockchain for carbon emission trading, IEEE/Elsevier, 2019-2023.</w:t>
      </w:r>
    </w:p>
    <w:p>
      <w:pPr>
        <w:pStyle w:val="ListNumber"/>
      </w:pPr>
      <w:r>
        <w:t>OpenZeppelin - ERC-20 and AccessControl contract libraries.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