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2"/>
        </w:rPr>
      </w:r>
    </w:p>
    <w:p>
      <w:pPr>
        <w:jc w:val="center"/>
      </w:pPr>
      <w:r>
        <w:rPr>
          <w:b/>
          <w:i w:val="0"/>
          <w:sz w:val="52"/>
        </w:rPr>
        <w:t>Warehouse and Supply Chain Management System</w:t>
      </w:r>
    </w:p>
    <w:p>
      <w:pPr>
        <w:jc w:val="center"/>
      </w:pPr>
      <w:r>
        <w:rPr>
          <w:b w:val="0"/>
          <w:i/>
          <w:sz w:val="30"/>
        </w:rPr>
        <w:t>Digital Assignment 1 (DA1)</w:t>
      </w:r>
    </w:p>
    <w:p>
      <w:pPr>
        <w:jc w:val="center"/>
      </w:pPr>
      <w:r>
        <w:rPr>
          <w:b/>
          <w:i w:val="0"/>
          <w:sz w:val="26"/>
        </w:rPr>
        <w:t>ER / EER Model and Normalization up to BCNF</w:t>
      </w:r>
    </w:p>
    <w:p>
      <w:r>
        <w:rPr>
          <w:b w:val="0"/>
          <w:i w:val="0"/>
          <w:sz w:val="22"/>
        </w:rPr>
      </w:r>
    </w:p>
    <w:p>
      <w:pPr>
        <w:jc w:val="center"/>
      </w:pPr>
      <w:r>
        <w:rPr>
          <w:b w:val="0"/>
          <w:i w:val="0"/>
          <w:sz w:val="24"/>
        </w:rPr>
        <w:t>Database Management Systems</w:t>
      </w:r>
    </w:p>
    <w:p>
      <w:pPr>
        <w:jc w:val="center"/>
      </w:pPr>
      <w:r>
        <w:rPr>
          <w:b w:val="0"/>
          <w:i w:val="0"/>
          <w:sz w:val="24"/>
        </w:rPr>
        <w:t>Vellore Institute of Technology, Chennai</w:t>
      </w:r>
    </w:p>
    <w:p>
      <w:r>
        <w:rPr>
          <w:b w:val="0"/>
          <w:i w:val="0"/>
          <w:sz w:val="22"/>
        </w:rPr>
      </w:r>
    </w:p>
    <w:p>
      <w:pPr>
        <w:jc w:val="center"/>
      </w:pPr>
      <w:r>
        <w:rPr>
          <w:b w:val="0"/>
          <w:i/>
          <w:sz w:val="24"/>
        </w:rPr>
        <w:t>Submitted by</w:t>
      </w:r>
    </w:p>
    <w:p>
      <w:pPr>
        <w:jc w:val="center"/>
      </w:pPr>
      <w:r>
        <w:rPr>
          <w:b/>
          <w:i w:val="0"/>
          <w:sz w:val="26"/>
        </w:rPr>
        <w:t>Safwaan Mohamed S (25BCE1188)</w:t>
      </w:r>
    </w:p>
    <w:p>
      <w:pPr>
        <w:jc w:val="center"/>
      </w:pPr>
      <w:r>
        <w:rPr>
          <w:b/>
          <w:i w:val="0"/>
          <w:sz w:val="26"/>
        </w:rPr>
        <w:t>Avi Dhandhania (25BCE1207)</w:t>
      </w:r>
    </w:p>
    <w:p>
      <w:pPr>
        <w:jc w:val="center"/>
      </w:pPr>
      <w:r>
        <w:rPr>
          <w:b/>
          <w:i w:val="0"/>
          <w:sz w:val="26"/>
        </w:rPr>
        <w:t>Priyal Bhalla (25BCE1261)</w:t>
      </w:r>
    </w:p>
    <w:p>
      <w:r>
        <w:rPr>
          <w:b w:val="0"/>
          <w:i w:val="0"/>
          <w:sz w:val="22"/>
        </w:rPr>
      </w:r>
    </w:p>
    <w:p>
      <w:pPr>
        <w:jc w:val="center"/>
      </w:pPr>
      <w:r>
        <w:rPr>
          <w:b w:val="0"/>
          <w:i/>
          <w:sz w:val="22"/>
        </w:rPr>
        <w:t>Submission deadline: 31 July 2026</w:t>
      </w:r>
    </w:p>
    <w:p>
      <w:r>
        <w:br w:type="page"/>
      </w:r>
    </w:p>
    <w:p>
      <w:pPr>
        <w:pStyle w:val="Heading1"/>
      </w:pPr>
      <w:r>
        <w:rPr>
          <w:color w:val="000000"/>
        </w:rPr>
        <w:t>1. Problem Statement, Objectives and Scope</w:t>
      </w:r>
    </w:p>
    <w:p>
      <w:pPr>
        <w:pStyle w:val="Heading2"/>
      </w:pPr>
      <w:r>
        <w:rPr>
          <w:color w:val="000000"/>
        </w:rPr>
        <w:t>1.1 Problem Statement</w:t>
      </w:r>
    </w:p>
    <w:p>
      <w:r>
        <w:rPr>
          <w:b w:val="0"/>
          <w:i w:val="0"/>
          <w:sz w:val="22"/>
        </w:rPr>
        <w:t>A warehouse business has to know three things at all times: what stock it holds and where, who supplies each product, and where every customer order has reached. In most small and mid-sized operations these three answers live in separate places, namely a purchase register, a stock sheet on the warehouse floor, and a delivery log kept by the transport team. Nothing keeps the three in agreement.</w:t>
      </w:r>
    </w:p>
    <w:p>
      <w:r>
        <w:rPr>
          <w:b w:val="0"/>
          <w:i w:val="0"/>
          <w:sz w:val="22"/>
        </w:rPr>
        <w:t>The result is that the same fact ends up written down in several places. A customer's address appears on every order they have ever placed, and a product's name appears on every order line that includes it. When one copy is corrected and another is missed, the data starts contradicting itself, and the following problems follow directly:</w:t>
      </w:r>
    </w:p>
    <w:p>
      <w:pPr>
        <w:pStyle w:val="ListBullet"/>
      </w:pPr>
      <w:r>
        <w:rPr>
          <w:sz w:val="21"/>
        </w:rPr>
        <w:t>A new supplier or customer cannot be recorded until they appear on an order.</w:t>
      </w:r>
    </w:p>
    <w:p>
      <w:pPr>
        <w:pStyle w:val="ListBullet"/>
      </w:pPr>
      <w:r>
        <w:rPr>
          <w:sz w:val="21"/>
        </w:rPr>
        <w:t>Deleting the last order for a customer erases that customer completely.</w:t>
      </w:r>
    </w:p>
    <w:p>
      <w:pPr>
        <w:pStyle w:val="ListBullet"/>
      </w:pPr>
      <w:r>
        <w:rPr>
          <w:sz w:val="21"/>
        </w:rPr>
        <w:t>Correcting a product name or an address means editing many rows, and any row that is missed leaves the database in two minds.</w:t>
      </w:r>
    </w:p>
    <w:p>
      <w:pPr>
        <w:pStyle w:val="ListBullet"/>
      </w:pPr>
      <w:r>
        <w:rPr>
          <w:sz w:val="21"/>
        </w:rPr>
        <w:t>Nobody can say reliably how much of a product is on hand, because the figure is kept in more than one place.</w:t>
      </w:r>
    </w:p>
    <w:p>
      <w:r>
        <w:rPr>
          <w:b w:val="0"/>
          <w:i w:val="0"/>
          <w:sz w:val="22"/>
        </w:rPr>
        <w:t>These are known as insert, delete and update anomalies. They are not caused by missing data, they are caused by the same data being stored more than once. Normalization is the process that removes that duplication, and this assignment applies it step by step.</w:t>
      </w:r>
    </w:p>
    <w:p>
      <w:pPr>
        <w:pStyle w:val="Heading2"/>
      </w:pPr>
      <w:r>
        <w:rPr>
          <w:color w:val="000000"/>
        </w:rPr>
        <w:t>1.2 Objectives</w:t>
      </w:r>
    </w:p>
    <w:p>
      <w:pPr>
        <w:pStyle w:val="ListBullet"/>
      </w:pPr>
      <w:r>
        <w:rPr>
          <w:sz w:val="21"/>
        </w:rPr>
        <w:t>O1. Identify the entities, attributes and relationships the system needs.</w:t>
      </w:r>
    </w:p>
    <w:p>
      <w:pPr>
        <w:pStyle w:val="ListBullet"/>
      </w:pPr>
      <w:r>
        <w:rPr>
          <w:sz w:val="21"/>
        </w:rPr>
        <w:t>O2. Draw an ER model for the design using Chen notation.</w:t>
      </w:r>
    </w:p>
    <w:p>
      <w:pPr>
        <w:pStyle w:val="ListBullet"/>
      </w:pPr>
      <w:r>
        <w:rPr>
          <w:sz w:val="21"/>
        </w:rPr>
        <w:t>O3. Extend that same model into an EER model, adding specialization, generalization, aggregation, a weak entity, and multivalued, composite and derived attributes.</w:t>
      </w:r>
    </w:p>
    <w:p>
      <w:pPr>
        <w:pStyle w:val="ListBullet"/>
      </w:pPr>
      <w:r>
        <w:rPr>
          <w:sz w:val="21"/>
        </w:rPr>
        <w:t>O4. Convert the EER model into relational tables using the standard mapping rules.</w:t>
      </w:r>
    </w:p>
    <w:p>
      <w:pPr>
        <w:pStyle w:val="ListBullet"/>
      </w:pPr>
      <w:r>
        <w:rPr>
          <w:sz w:val="21"/>
        </w:rPr>
        <w:t>O5. Populate the tables with sample rows and work out every functional dependency that holds, along with the candidate keys they imply.</w:t>
      </w:r>
    </w:p>
    <w:p>
      <w:pPr>
        <w:pStyle w:val="ListBullet"/>
      </w:pPr>
      <w:r>
        <w:rPr>
          <w:sz w:val="21"/>
        </w:rPr>
        <w:t>O6. Normalize the tables step by step from UNF through 1NF, 2NF and 3NF up to BCNF, showing the tables at each stage.</w:t>
      </w:r>
    </w:p>
    <w:p>
      <w:pPr>
        <w:pStyle w:val="ListBullet"/>
      </w:pPr>
      <w:r>
        <w:rPr>
          <w:sz w:val="21"/>
        </w:rPr>
        <w:t>O7. Confirm that no table in the final design can hold a contradiction.</w:t>
      </w:r>
    </w:p>
    <w:p>
      <w:pPr>
        <w:pStyle w:val="Heading2"/>
      </w:pPr>
      <w:r>
        <w:rPr>
          <w:color w:val="000000"/>
        </w:rPr>
        <w:t>1.3 Scope</w:t>
      </w:r>
    </w:p>
    <w:p>
      <w:r>
        <w:rPr>
          <w:b/>
          <w:i w:val="0"/>
          <w:sz w:val="22"/>
        </w:rPr>
        <w:t xml:space="preserve">In scope: </w:t>
      </w:r>
      <w:r>
        <w:t>nine entities covering warehouses, products, suppliers, customers, orders, shipments, returns, inspections and employees, the twelve relationships between them, the conversion of the design into tables, the dependency analysis, and normalization up to BCNF.</w:t>
      </w:r>
    </w:p>
    <w:p>
      <w:r>
        <w:rPr>
          <w:b/>
          <w:i w:val="0"/>
          <w:sz w:val="22"/>
        </w:rPr>
        <w:t xml:space="preserve">Out of scope for DA1: </w:t>
      </w:r>
      <w:r>
        <w:t>writing the SQL and PL/SQL, which is DA2, and rebuilding the project on a modern database technology, which is DA3. Billing, tax, user logins and demand forecasting are left out of the design altogether so that the model stays small enough to explain in full.</w:t>
      </w:r>
    </w:p>
    <w:p>
      <w:pPr>
        <w:pStyle w:val="Heading1"/>
      </w:pPr>
      <w:r>
        <w:rPr>
          <w:color w:val="000000"/>
        </w:rPr>
        <w:t>2. Entities and Attributes</w:t>
      </w:r>
    </w:p>
    <w:p>
      <w:r>
        <w:rPr>
          <w:b w:val="0"/>
          <w:i w:val="0"/>
          <w:sz w:val="22"/>
        </w:rPr>
        <w:t>The design uses nine entities. The key attribute of each one is the column that identifies a single row, and it is shown underlined in every diagram in this report.</w:t>
      </w:r>
    </w:p>
    <w:tbl>
      <w:tblPr>
        <w:tblStyle w:val="TableGrid"/>
        <w:tblW w:type="auto" w:w="0"/>
        <w:tblLook w:firstColumn="1" w:firstRow="1" w:lastColumn="0" w:lastRow="0" w:noHBand="0" w:noVBand="1" w:val="04A0"/>
      </w:tblPr>
      <w:tblGrid>
        <w:gridCol w:w="3408"/>
        <w:gridCol w:w="3408"/>
        <w:gridCol w:w="3408"/>
      </w:tblGrid>
      <w:tr>
        <w:tc>
          <w:tcPr>
            <w:tcW w:type="dxa" w:w="2016"/>
          </w:tcPr>
          <w:p>
            <w:r/>
            <w:r>
              <w:rPr>
                <w:b/>
                <w:sz w:val="19"/>
              </w:rPr>
              <w:t>Entity</w:t>
            </w:r>
          </w:p>
        </w:tc>
        <w:tc>
          <w:tcPr>
            <w:tcW w:type="dxa" w:w="1872"/>
          </w:tcPr>
          <w:p>
            <w:r/>
            <w:r>
              <w:rPr>
                <w:b/>
                <w:sz w:val="19"/>
              </w:rPr>
              <w:t>Key attribute</w:t>
            </w:r>
          </w:p>
        </w:tc>
        <w:tc>
          <w:tcPr>
            <w:tcW w:type="dxa" w:w="5616"/>
          </w:tcPr>
          <w:p>
            <w:r/>
            <w:r>
              <w:rPr>
                <w:b/>
                <w:sz w:val="19"/>
              </w:rPr>
              <w:t>Other attributes</w:t>
            </w:r>
          </w:p>
        </w:tc>
      </w:tr>
      <w:tr>
        <w:tc>
          <w:tcPr>
            <w:tcW w:type="dxa" w:w="2016"/>
          </w:tcPr>
          <w:p>
            <w:r/>
            <w:r>
              <w:rPr>
                <w:sz w:val="19"/>
              </w:rPr>
              <w:t>WAREHOUSE</w:t>
            </w:r>
          </w:p>
        </w:tc>
        <w:tc>
          <w:tcPr>
            <w:tcW w:type="dxa" w:w="1872"/>
          </w:tcPr>
          <w:p>
            <w:r/>
            <w:r>
              <w:rPr>
                <w:sz w:val="19"/>
              </w:rPr>
              <w:t>WarehouseID</w:t>
            </w:r>
          </w:p>
        </w:tc>
        <w:tc>
          <w:tcPr>
            <w:tcW w:type="dxa" w:w="5616"/>
          </w:tcPr>
          <w:p>
            <w:r/>
            <w:r>
              <w:rPr>
                <w:sz w:val="19"/>
              </w:rPr>
              <w:t>WName, City, Capacity</w:t>
            </w:r>
          </w:p>
        </w:tc>
      </w:tr>
      <w:tr>
        <w:tc>
          <w:tcPr>
            <w:tcW w:type="dxa" w:w="2016"/>
          </w:tcPr>
          <w:p>
            <w:r/>
            <w:r>
              <w:rPr>
                <w:sz w:val="19"/>
              </w:rPr>
              <w:t>PRODUCT</w:t>
            </w:r>
          </w:p>
        </w:tc>
        <w:tc>
          <w:tcPr>
            <w:tcW w:type="dxa" w:w="1872"/>
          </w:tcPr>
          <w:p>
            <w:r/>
            <w:r>
              <w:rPr>
                <w:sz w:val="19"/>
              </w:rPr>
              <w:t>ProductID</w:t>
            </w:r>
          </w:p>
        </w:tc>
        <w:tc>
          <w:tcPr>
            <w:tcW w:type="dxa" w:w="5616"/>
          </w:tcPr>
          <w:p>
            <w:r/>
            <w:r>
              <w:rPr>
                <w:sz w:val="19"/>
              </w:rPr>
              <w:t>PName, Category, UnitPrice</w:t>
            </w:r>
          </w:p>
        </w:tc>
      </w:tr>
      <w:tr>
        <w:tc>
          <w:tcPr>
            <w:tcW w:type="dxa" w:w="2016"/>
          </w:tcPr>
          <w:p>
            <w:r/>
            <w:r>
              <w:rPr>
                <w:sz w:val="19"/>
              </w:rPr>
              <w:t>SUPPLIER</w:t>
            </w:r>
          </w:p>
        </w:tc>
        <w:tc>
          <w:tcPr>
            <w:tcW w:type="dxa" w:w="1872"/>
          </w:tcPr>
          <w:p>
            <w:r/>
            <w:r>
              <w:rPr>
                <w:sz w:val="19"/>
              </w:rPr>
              <w:t>SupplierID</w:t>
            </w:r>
          </w:p>
        </w:tc>
        <w:tc>
          <w:tcPr>
            <w:tcW w:type="dxa" w:w="5616"/>
          </w:tcPr>
          <w:p>
            <w:r/>
            <w:r>
              <w:rPr>
                <w:sz w:val="19"/>
              </w:rPr>
              <w:t>SName, City, Phone (many per supplier)</w:t>
            </w:r>
          </w:p>
        </w:tc>
      </w:tr>
      <w:tr>
        <w:tc>
          <w:tcPr>
            <w:tcW w:type="dxa" w:w="2016"/>
          </w:tcPr>
          <w:p>
            <w:r/>
            <w:r>
              <w:rPr>
                <w:sz w:val="19"/>
              </w:rPr>
              <w:t>CUSTOMER</w:t>
            </w:r>
          </w:p>
        </w:tc>
        <w:tc>
          <w:tcPr>
            <w:tcW w:type="dxa" w:w="1872"/>
          </w:tcPr>
          <w:p>
            <w:r/>
            <w:r>
              <w:rPr>
                <w:sz w:val="19"/>
              </w:rPr>
              <w:t>CustomerID</w:t>
            </w:r>
          </w:p>
        </w:tc>
        <w:tc>
          <w:tcPr>
            <w:tcW w:type="dxa" w:w="5616"/>
          </w:tcPr>
          <w:p>
            <w:r/>
            <w:r>
              <w:rPr>
                <w:sz w:val="19"/>
              </w:rPr>
              <w:t>CName, Address (Street + City + Pincode), Phone</w:t>
            </w:r>
          </w:p>
        </w:tc>
      </w:tr>
      <w:tr>
        <w:tc>
          <w:tcPr>
            <w:tcW w:type="dxa" w:w="2016"/>
          </w:tcPr>
          <w:p>
            <w:r/>
            <w:r>
              <w:rPr>
                <w:sz w:val="19"/>
              </w:rPr>
              <w:t>ORDERS</w:t>
            </w:r>
          </w:p>
        </w:tc>
        <w:tc>
          <w:tcPr>
            <w:tcW w:type="dxa" w:w="1872"/>
          </w:tcPr>
          <w:p>
            <w:r/>
            <w:r>
              <w:rPr>
                <w:sz w:val="19"/>
              </w:rPr>
              <w:t>OrderID</w:t>
            </w:r>
          </w:p>
        </w:tc>
        <w:tc>
          <w:tcPr>
            <w:tcW w:type="dxa" w:w="5616"/>
          </w:tcPr>
          <w:p>
            <w:r/>
            <w:r>
              <w:rPr>
                <w:sz w:val="19"/>
              </w:rPr>
              <w:t>OrderDate, Status, TotalAmt (calculated)</w:t>
            </w:r>
          </w:p>
        </w:tc>
      </w:tr>
      <w:tr>
        <w:tc>
          <w:tcPr>
            <w:tcW w:type="dxa" w:w="2016"/>
          </w:tcPr>
          <w:p>
            <w:r/>
            <w:r>
              <w:rPr>
                <w:sz w:val="19"/>
              </w:rPr>
              <w:t>SHIPMENT</w:t>
            </w:r>
          </w:p>
        </w:tc>
        <w:tc>
          <w:tcPr>
            <w:tcW w:type="dxa" w:w="1872"/>
          </w:tcPr>
          <w:p>
            <w:r/>
            <w:r>
              <w:rPr>
                <w:sz w:val="19"/>
              </w:rPr>
              <w:t>ShipmentID</w:t>
            </w:r>
          </w:p>
        </w:tc>
        <w:tc>
          <w:tcPr>
            <w:tcW w:type="dxa" w:w="5616"/>
          </w:tcPr>
          <w:p>
            <w:r/>
            <w:r>
              <w:rPr>
                <w:sz w:val="19"/>
              </w:rPr>
              <w:t>DispatchDate, DeliveryDate, Status</w:t>
            </w:r>
          </w:p>
        </w:tc>
      </w:tr>
      <w:tr>
        <w:tc>
          <w:tcPr>
            <w:tcW w:type="dxa" w:w="2016"/>
          </w:tcPr>
          <w:p>
            <w:r/>
            <w:r>
              <w:rPr>
                <w:sz w:val="19"/>
              </w:rPr>
              <w:t>GOODS_RETURN</w:t>
            </w:r>
          </w:p>
        </w:tc>
        <w:tc>
          <w:tcPr>
            <w:tcW w:type="dxa" w:w="1872"/>
          </w:tcPr>
          <w:p>
            <w:r/>
            <w:r>
              <w:rPr>
                <w:sz w:val="19"/>
              </w:rPr>
              <w:t>ReturnID</w:t>
            </w:r>
          </w:p>
        </w:tc>
        <w:tc>
          <w:tcPr>
            <w:tcW w:type="dxa" w:w="5616"/>
          </w:tcPr>
          <w:p>
            <w:r/>
            <w:r>
              <w:rPr>
                <w:sz w:val="19"/>
              </w:rPr>
              <w:t>ReturnDate, Reason, RefundAmt, Status</w:t>
            </w:r>
          </w:p>
        </w:tc>
      </w:tr>
      <w:tr>
        <w:tc>
          <w:tcPr>
            <w:tcW w:type="dxa" w:w="2016"/>
          </w:tcPr>
          <w:p>
            <w:r/>
            <w:r>
              <w:rPr>
                <w:sz w:val="19"/>
              </w:rPr>
              <w:t>INSPECTION</w:t>
            </w:r>
          </w:p>
        </w:tc>
        <w:tc>
          <w:tcPr>
            <w:tcW w:type="dxa" w:w="1872"/>
          </w:tcPr>
          <w:p>
            <w:r/>
            <w:r>
              <w:rPr>
                <w:sz w:val="19"/>
              </w:rPr>
              <w:t>InspID</w:t>
            </w:r>
          </w:p>
        </w:tc>
        <w:tc>
          <w:tcPr>
            <w:tcW w:type="dxa" w:w="5616"/>
          </w:tcPr>
          <w:p>
            <w:r/>
            <w:r>
              <w:rPr>
                <w:sz w:val="19"/>
              </w:rPr>
              <w:t>InspDate, Result</w:t>
            </w:r>
          </w:p>
        </w:tc>
      </w:tr>
      <w:tr>
        <w:tc>
          <w:tcPr>
            <w:tcW w:type="dxa" w:w="2016"/>
          </w:tcPr>
          <w:p>
            <w:r/>
            <w:r>
              <w:rPr>
                <w:sz w:val="19"/>
              </w:rPr>
              <w:t>EMPLOYEE</w:t>
            </w:r>
          </w:p>
        </w:tc>
        <w:tc>
          <w:tcPr>
            <w:tcW w:type="dxa" w:w="1872"/>
          </w:tcPr>
          <w:p>
            <w:r/>
            <w:r>
              <w:rPr>
                <w:sz w:val="19"/>
              </w:rPr>
              <w:t>EmpID</w:t>
            </w:r>
          </w:p>
        </w:tc>
        <w:tc>
          <w:tcPr>
            <w:tcW w:type="dxa" w:w="5616"/>
          </w:tcPr>
          <w:p>
            <w:r/>
            <w:r>
              <w:rPr>
                <w:sz w:val="19"/>
              </w:rPr>
              <w:t>EName, Role, Salary</w:t>
            </w:r>
          </w:p>
        </w:tc>
      </w:tr>
    </w:tbl>
    <w:p>
      <w:pPr>
        <w:pStyle w:val="Heading1"/>
      </w:pPr>
      <w:r>
        <w:rPr>
          <w:color w:val="000000"/>
        </w:rPr>
        <w:t>3. Relationships</w:t>
      </w:r>
    </w:p>
    <w:p>
      <w:r>
        <w:rPr>
          <w:b w:val="0"/>
          <w:i w:val="0"/>
          <w:sz w:val="22"/>
        </w:rPr>
        <w:t>Twelve relationships connect the entities. '1:1' means one row on each side. '1:N' means one row on the left can be linked to many rows on the right. 'M:N' means many on both sides.</w:t>
      </w:r>
    </w:p>
    <w:tbl>
      <w:tblPr>
        <w:tblStyle w:val="TableGrid"/>
        <w:tblW w:type="auto" w:w="0"/>
        <w:tblLook w:firstColumn="1" w:firstRow="1" w:lastColumn="0" w:lastRow="0" w:noHBand="0" w:noVBand="1" w:val="04A0"/>
      </w:tblPr>
      <w:tblGrid>
        <w:gridCol w:w="2556"/>
        <w:gridCol w:w="2556"/>
        <w:gridCol w:w="2556"/>
        <w:gridCol w:w="2556"/>
      </w:tblGrid>
      <w:tr>
        <w:tc>
          <w:tcPr>
            <w:tcW w:type="dxa" w:w="1872"/>
          </w:tcPr>
          <w:p>
            <w:r/>
            <w:r>
              <w:rPr>
                <w:b/>
                <w:sz w:val="18"/>
              </w:rPr>
              <w:t>Relationship</w:t>
            </w:r>
          </w:p>
        </w:tc>
        <w:tc>
          <w:tcPr>
            <w:tcW w:type="dxa" w:w="2304"/>
          </w:tcPr>
          <w:p>
            <w:r/>
            <w:r>
              <w:rPr>
                <w:b/>
                <w:sz w:val="18"/>
              </w:rPr>
              <w:t>Between</w:t>
            </w:r>
          </w:p>
        </w:tc>
        <w:tc>
          <w:tcPr>
            <w:tcW w:type="dxa" w:w="720"/>
          </w:tcPr>
          <w:p>
            <w:r/>
            <w:r>
              <w:rPr>
                <w:b/>
                <w:sz w:val="18"/>
              </w:rPr>
              <w:t>Type</w:t>
            </w:r>
          </w:p>
        </w:tc>
        <w:tc>
          <w:tcPr>
            <w:tcW w:type="dxa" w:w="4608"/>
          </w:tcPr>
          <w:p>
            <w:r/>
            <w:r>
              <w:rPr>
                <w:b/>
                <w:sz w:val="18"/>
              </w:rPr>
              <w:t>Meaning</w:t>
            </w:r>
          </w:p>
        </w:tc>
      </w:tr>
      <w:tr>
        <w:tc>
          <w:tcPr>
            <w:tcW w:type="dxa" w:w="1872"/>
          </w:tcPr>
          <w:p>
            <w:r/>
            <w:r>
              <w:rPr>
                <w:sz w:val="18"/>
              </w:rPr>
              <w:t>SUPPLIES</w:t>
            </w:r>
          </w:p>
        </w:tc>
        <w:tc>
          <w:tcPr>
            <w:tcW w:type="dxa" w:w="2304"/>
          </w:tcPr>
          <w:p>
            <w:r/>
            <w:r>
              <w:rPr>
                <w:sz w:val="18"/>
              </w:rPr>
              <w:t>SUPPLIER - PRODUCT</w:t>
            </w:r>
          </w:p>
        </w:tc>
        <w:tc>
          <w:tcPr>
            <w:tcW w:type="dxa" w:w="720"/>
          </w:tcPr>
          <w:p>
            <w:r/>
            <w:r>
              <w:rPr>
                <w:sz w:val="18"/>
              </w:rPr>
              <w:t>M:N</w:t>
            </w:r>
          </w:p>
        </w:tc>
        <w:tc>
          <w:tcPr>
            <w:tcW w:type="dxa" w:w="4608"/>
          </w:tcPr>
          <w:p>
            <w:r/>
            <w:r>
              <w:rPr>
                <w:sz w:val="18"/>
              </w:rPr>
              <w:t>A supplier supplies many products, and a product comes from many suppliers. Carries LeadTimeDays.</w:t>
            </w:r>
          </w:p>
        </w:tc>
      </w:tr>
      <w:tr>
        <w:tc>
          <w:tcPr>
            <w:tcW w:type="dxa" w:w="1872"/>
          </w:tcPr>
          <w:p>
            <w:r/>
            <w:r>
              <w:rPr>
                <w:sz w:val="18"/>
              </w:rPr>
              <w:t>STORED_IN</w:t>
            </w:r>
          </w:p>
        </w:tc>
        <w:tc>
          <w:tcPr>
            <w:tcW w:type="dxa" w:w="2304"/>
          </w:tcPr>
          <w:p>
            <w:r/>
            <w:r>
              <w:rPr>
                <w:sz w:val="18"/>
              </w:rPr>
              <w:t>PRODUCT - WAREHOUSE</w:t>
            </w:r>
          </w:p>
        </w:tc>
        <w:tc>
          <w:tcPr>
            <w:tcW w:type="dxa" w:w="720"/>
          </w:tcPr>
          <w:p>
            <w:r/>
            <w:r>
              <w:rPr>
                <w:sz w:val="18"/>
              </w:rPr>
              <w:t>M:N</w:t>
            </w:r>
          </w:p>
        </w:tc>
        <w:tc>
          <w:tcPr>
            <w:tcW w:type="dxa" w:w="4608"/>
          </w:tcPr>
          <w:p>
            <w:r/>
            <w:r>
              <w:rPr>
                <w:sz w:val="18"/>
              </w:rPr>
              <w:t>A product is stocked in many warehouses. Carries Quantity.</w:t>
            </w:r>
          </w:p>
        </w:tc>
      </w:tr>
      <w:tr>
        <w:tc>
          <w:tcPr>
            <w:tcW w:type="dxa" w:w="1872"/>
          </w:tcPr>
          <w:p>
            <w:r/>
            <w:r>
              <w:rPr>
                <w:sz w:val="18"/>
              </w:rPr>
              <w:t>CONTAINS</w:t>
            </w:r>
          </w:p>
        </w:tc>
        <w:tc>
          <w:tcPr>
            <w:tcW w:type="dxa" w:w="2304"/>
          </w:tcPr>
          <w:p>
            <w:r/>
            <w:r>
              <w:rPr>
                <w:sz w:val="18"/>
              </w:rPr>
              <w:t>PRODUCT - ORDERS</w:t>
            </w:r>
          </w:p>
        </w:tc>
        <w:tc>
          <w:tcPr>
            <w:tcW w:type="dxa" w:w="720"/>
          </w:tcPr>
          <w:p>
            <w:r/>
            <w:r>
              <w:rPr>
                <w:sz w:val="18"/>
              </w:rPr>
              <w:t>M:N</w:t>
            </w:r>
          </w:p>
        </w:tc>
        <w:tc>
          <w:tcPr>
            <w:tcW w:type="dxa" w:w="4608"/>
          </w:tcPr>
          <w:p>
            <w:r/>
            <w:r>
              <w:rPr>
                <w:sz w:val="18"/>
              </w:rPr>
              <w:t>An order contains many products. Carries Qty.</w:t>
            </w:r>
          </w:p>
        </w:tc>
      </w:tr>
      <w:tr>
        <w:tc>
          <w:tcPr>
            <w:tcW w:type="dxa" w:w="1872"/>
          </w:tcPr>
          <w:p>
            <w:r/>
            <w:r>
              <w:rPr>
                <w:sz w:val="18"/>
              </w:rPr>
              <w:t>WORKS_AT</w:t>
            </w:r>
          </w:p>
        </w:tc>
        <w:tc>
          <w:tcPr>
            <w:tcW w:type="dxa" w:w="2304"/>
          </w:tcPr>
          <w:p>
            <w:r/>
            <w:r>
              <w:rPr>
                <w:sz w:val="18"/>
              </w:rPr>
              <w:t>WAREHOUSE - EMPLOYEE</w:t>
            </w:r>
          </w:p>
        </w:tc>
        <w:tc>
          <w:tcPr>
            <w:tcW w:type="dxa" w:w="720"/>
          </w:tcPr>
          <w:p>
            <w:r/>
            <w:r>
              <w:rPr>
                <w:sz w:val="18"/>
              </w:rPr>
              <w:t>1:N</w:t>
            </w:r>
          </w:p>
        </w:tc>
        <w:tc>
          <w:tcPr>
            <w:tcW w:type="dxa" w:w="4608"/>
          </w:tcPr>
          <w:p>
            <w:r/>
            <w:r>
              <w:rPr>
                <w:sz w:val="18"/>
              </w:rPr>
              <w:t>Every employee is posted to exactly one warehouse.</w:t>
            </w:r>
          </w:p>
        </w:tc>
      </w:tr>
      <w:tr>
        <w:tc>
          <w:tcPr>
            <w:tcW w:type="dxa" w:w="1872"/>
          </w:tcPr>
          <w:p>
            <w:r/>
            <w:r>
              <w:rPr>
                <w:sz w:val="18"/>
              </w:rPr>
              <w:t>PLACES</w:t>
            </w:r>
          </w:p>
        </w:tc>
        <w:tc>
          <w:tcPr>
            <w:tcW w:type="dxa" w:w="2304"/>
          </w:tcPr>
          <w:p>
            <w:r/>
            <w:r>
              <w:rPr>
                <w:sz w:val="18"/>
              </w:rPr>
              <w:t>CUSTOMER - ORDERS</w:t>
            </w:r>
          </w:p>
        </w:tc>
        <w:tc>
          <w:tcPr>
            <w:tcW w:type="dxa" w:w="720"/>
          </w:tcPr>
          <w:p>
            <w:r/>
            <w:r>
              <w:rPr>
                <w:sz w:val="18"/>
              </w:rPr>
              <w:t>1:N</w:t>
            </w:r>
          </w:p>
        </w:tc>
        <w:tc>
          <w:tcPr>
            <w:tcW w:type="dxa" w:w="4608"/>
          </w:tcPr>
          <w:p>
            <w:r/>
            <w:r>
              <w:rPr>
                <w:sz w:val="18"/>
              </w:rPr>
              <w:t>Every order belongs to exactly one customer.</w:t>
            </w:r>
          </w:p>
        </w:tc>
      </w:tr>
      <w:tr>
        <w:tc>
          <w:tcPr>
            <w:tcW w:type="dxa" w:w="1872"/>
          </w:tcPr>
          <w:p>
            <w:r/>
            <w:r>
              <w:rPr>
                <w:sz w:val="18"/>
              </w:rPr>
              <w:t>SHIPPED_BY</w:t>
            </w:r>
          </w:p>
        </w:tc>
        <w:tc>
          <w:tcPr>
            <w:tcW w:type="dxa" w:w="2304"/>
          </w:tcPr>
          <w:p>
            <w:r/>
            <w:r>
              <w:rPr>
                <w:sz w:val="18"/>
              </w:rPr>
              <w:t>ORDERS - SHIPMENT</w:t>
            </w:r>
          </w:p>
        </w:tc>
        <w:tc>
          <w:tcPr>
            <w:tcW w:type="dxa" w:w="720"/>
          </w:tcPr>
          <w:p>
            <w:r/>
            <w:r>
              <w:rPr>
                <w:sz w:val="18"/>
              </w:rPr>
              <w:t>1:N</w:t>
            </w:r>
          </w:p>
        </w:tc>
        <w:tc>
          <w:tcPr>
            <w:tcW w:type="dxa" w:w="4608"/>
          </w:tcPr>
          <w:p>
            <w:r/>
            <w:r>
              <w:rPr>
                <w:sz w:val="18"/>
              </w:rPr>
              <w:t>One order can go out in more than one shipment.</w:t>
            </w:r>
          </w:p>
        </w:tc>
      </w:tr>
      <w:tr>
        <w:tc>
          <w:tcPr>
            <w:tcW w:type="dxa" w:w="1872"/>
          </w:tcPr>
          <w:p>
            <w:r/>
            <w:r>
              <w:rPr>
                <w:sz w:val="18"/>
              </w:rPr>
              <w:t>DISPATCHED_FROM</w:t>
            </w:r>
          </w:p>
        </w:tc>
        <w:tc>
          <w:tcPr>
            <w:tcW w:type="dxa" w:w="2304"/>
          </w:tcPr>
          <w:p>
            <w:r/>
            <w:r>
              <w:rPr>
                <w:sz w:val="18"/>
              </w:rPr>
              <w:t>WAREHOUSE - SHIPMENT</w:t>
            </w:r>
          </w:p>
        </w:tc>
        <w:tc>
          <w:tcPr>
            <w:tcW w:type="dxa" w:w="720"/>
          </w:tcPr>
          <w:p>
            <w:r/>
            <w:r>
              <w:rPr>
                <w:sz w:val="18"/>
              </w:rPr>
              <w:t>1:N</w:t>
            </w:r>
          </w:p>
        </w:tc>
        <w:tc>
          <w:tcPr>
            <w:tcW w:type="dxa" w:w="4608"/>
          </w:tcPr>
          <w:p>
            <w:r/>
            <w:r>
              <w:rPr>
                <w:sz w:val="18"/>
              </w:rPr>
              <w:t>Every shipment leaves from one warehouse.</w:t>
            </w:r>
          </w:p>
        </w:tc>
      </w:tr>
      <w:tr>
        <w:tc>
          <w:tcPr>
            <w:tcW w:type="dxa" w:w="1872"/>
          </w:tcPr>
          <w:p>
            <w:r/>
            <w:r>
              <w:rPr>
                <w:sz w:val="18"/>
              </w:rPr>
              <w:t>MANAGES</w:t>
            </w:r>
          </w:p>
        </w:tc>
        <w:tc>
          <w:tcPr>
            <w:tcW w:type="dxa" w:w="2304"/>
          </w:tcPr>
          <w:p>
            <w:r/>
            <w:r>
              <w:rPr>
                <w:sz w:val="18"/>
              </w:rPr>
              <w:t>EMPLOYEE - WAREHOUSE</w:t>
            </w:r>
          </w:p>
        </w:tc>
        <w:tc>
          <w:tcPr>
            <w:tcW w:type="dxa" w:w="720"/>
          </w:tcPr>
          <w:p>
            <w:r/>
            <w:r>
              <w:rPr>
                <w:sz w:val="18"/>
              </w:rPr>
              <w:t>1:1</w:t>
            </w:r>
          </w:p>
        </w:tc>
        <w:tc>
          <w:tcPr>
            <w:tcW w:type="dxa" w:w="4608"/>
          </w:tcPr>
          <w:p>
            <w:r/>
            <w:r>
              <w:rPr>
                <w:sz w:val="18"/>
              </w:rPr>
              <w:t>A warehouse has exactly one manager, and an employee manages at most one warehouse. The only 1:1 relationship in the design.</w:t>
            </w:r>
          </w:p>
        </w:tc>
      </w:tr>
      <w:tr>
        <w:tc>
          <w:tcPr>
            <w:tcW w:type="dxa" w:w="1872"/>
          </w:tcPr>
          <w:p>
            <w:r/>
            <w:r>
              <w:rPr>
                <w:sz w:val="18"/>
              </w:rPr>
              <w:t>RETURNED_FOR</w:t>
            </w:r>
          </w:p>
        </w:tc>
        <w:tc>
          <w:tcPr>
            <w:tcW w:type="dxa" w:w="2304"/>
          </w:tcPr>
          <w:p>
            <w:r/>
            <w:r>
              <w:rPr>
                <w:sz w:val="18"/>
              </w:rPr>
              <w:t>ORDERS - GOODS_RETURN</w:t>
            </w:r>
          </w:p>
        </w:tc>
        <w:tc>
          <w:tcPr>
            <w:tcW w:type="dxa" w:w="720"/>
          </w:tcPr>
          <w:p>
            <w:r/>
            <w:r>
              <w:rPr>
                <w:sz w:val="18"/>
              </w:rPr>
              <w:t>1:N</w:t>
            </w:r>
          </w:p>
        </w:tc>
        <w:tc>
          <w:tcPr>
            <w:tcW w:type="dxa" w:w="4608"/>
          </w:tcPr>
          <w:p>
            <w:r/>
            <w:r>
              <w:rPr>
                <w:sz w:val="18"/>
              </w:rPr>
              <w:t>A return is always against one order, and an order can be returned in parts.</w:t>
            </w:r>
          </w:p>
        </w:tc>
      </w:tr>
      <w:tr>
        <w:tc>
          <w:tcPr>
            <w:tcW w:type="dxa" w:w="1872"/>
          </w:tcPr>
          <w:p>
            <w:r/>
            <w:r>
              <w:rPr>
                <w:sz w:val="18"/>
              </w:rPr>
              <w:t>RETURNED_TO</w:t>
            </w:r>
          </w:p>
        </w:tc>
        <w:tc>
          <w:tcPr>
            <w:tcW w:type="dxa" w:w="2304"/>
          </w:tcPr>
          <w:p>
            <w:r/>
            <w:r>
              <w:rPr>
                <w:sz w:val="18"/>
              </w:rPr>
              <w:t>WAREHOUSE - GOODS_RETURN</w:t>
            </w:r>
          </w:p>
        </w:tc>
        <w:tc>
          <w:tcPr>
            <w:tcW w:type="dxa" w:w="720"/>
          </w:tcPr>
          <w:p>
            <w:r/>
            <w:r>
              <w:rPr>
                <w:sz w:val="18"/>
              </w:rPr>
              <w:t>1:N</w:t>
            </w:r>
          </w:p>
        </w:tc>
        <w:tc>
          <w:tcPr>
            <w:tcW w:type="dxa" w:w="4608"/>
          </w:tcPr>
          <w:p>
            <w:r/>
            <w:r>
              <w:rPr>
                <w:sz w:val="18"/>
              </w:rPr>
              <w:t>Returned goods come back into one warehouse.</w:t>
            </w:r>
          </w:p>
        </w:tc>
      </w:tr>
      <w:tr>
        <w:tc>
          <w:tcPr>
            <w:tcW w:type="dxa" w:w="1872"/>
          </w:tcPr>
          <w:p>
            <w:r/>
            <w:r>
              <w:rPr>
                <w:sz w:val="18"/>
              </w:rPr>
              <w:t>CHECKS_SUPPLIER</w:t>
            </w:r>
          </w:p>
        </w:tc>
        <w:tc>
          <w:tcPr>
            <w:tcW w:type="dxa" w:w="2304"/>
          </w:tcPr>
          <w:p>
            <w:r/>
            <w:r>
              <w:rPr>
                <w:sz w:val="18"/>
              </w:rPr>
              <w:t>INSPECTION - SUPPLIER</w:t>
            </w:r>
          </w:p>
        </w:tc>
        <w:tc>
          <w:tcPr>
            <w:tcW w:type="dxa" w:w="720"/>
          </w:tcPr>
          <w:p>
            <w:r/>
            <w:r>
              <w:rPr>
                <w:sz w:val="18"/>
              </w:rPr>
              <w:t>N:1</w:t>
            </w:r>
          </w:p>
        </w:tc>
        <w:tc>
          <w:tcPr>
            <w:tcW w:type="dxa" w:w="4608"/>
          </w:tcPr>
          <w:p>
            <w:r/>
            <w:r>
              <w:rPr>
                <w:sz w:val="18"/>
              </w:rPr>
              <w:t>Names the supplier the inspection is about. Replaced by the aggregation in the EER model.</w:t>
            </w:r>
          </w:p>
        </w:tc>
      </w:tr>
      <w:tr>
        <w:tc>
          <w:tcPr>
            <w:tcW w:type="dxa" w:w="1872"/>
          </w:tcPr>
          <w:p>
            <w:r/>
            <w:r>
              <w:rPr>
                <w:sz w:val="18"/>
              </w:rPr>
              <w:t>CHECKS_PRODUCT</w:t>
            </w:r>
          </w:p>
        </w:tc>
        <w:tc>
          <w:tcPr>
            <w:tcW w:type="dxa" w:w="2304"/>
          </w:tcPr>
          <w:p>
            <w:r/>
            <w:r>
              <w:rPr>
                <w:sz w:val="18"/>
              </w:rPr>
              <w:t>INSPECTION - PRODUCT</w:t>
            </w:r>
          </w:p>
        </w:tc>
        <w:tc>
          <w:tcPr>
            <w:tcW w:type="dxa" w:w="720"/>
          </w:tcPr>
          <w:p>
            <w:r/>
            <w:r>
              <w:rPr>
                <w:sz w:val="18"/>
              </w:rPr>
              <w:t>N:1</w:t>
            </w:r>
          </w:p>
        </w:tc>
        <w:tc>
          <w:tcPr>
            <w:tcW w:type="dxa" w:w="4608"/>
          </w:tcPr>
          <w:p>
            <w:r/>
            <w:r>
              <w:rPr>
                <w:sz w:val="18"/>
              </w:rPr>
              <w:t>Names the product the inspection is about. Replaced by the aggregation in the EER model.</w:t>
            </w:r>
          </w:p>
        </w:tc>
      </w:tr>
    </w:tbl>
    <w:p>
      <w:pPr>
        <w:pStyle w:val="Heading1"/>
      </w:pPr>
      <w:r>
        <w:rPr>
          <w:color w:val="000000"/>
        </w:rPr>
        <w:t>4. ER Model</w:t>
      </w:r>
    </w:p>
    <w:p>
      <w:r>
        <w:rPr>
          <w:b w:val="0"/>
          <w:i w:val="0"/>
          <w:sz w:val="22"/>
        </w:rPr>
        <w:t>Figure 1 shows the whole design as one ER diagram in Chen notation: rectangles are entities, diamonds are relationships and ellipses are attributes. An underlined attribute is the key. The 1, M and N marks on each line say how many rows can take part, and a double line means taking part is compulsory, so for example every order must belong to a customer.</w:t>
      </w:r>
    </w:p>
    <w:p>
      <w:pPr>
        <w:jc w:val="center"/>
      </w:pPr>
      <w:r>
        <w:drawing>
          <wp:inline xmlns:a="http://schemas.openxmlformats.org/drawingml/2006/main" xmlns:pic="http://schemas.openxmlformats.org/drawingml/2006/picture">
            <wp:extent cx="6400800" cy="3365511"/>
            <wp:docPr id="1" name="Picture 1"/>
            <wp:cNvGraphicFramePr>
              <a:graphicFrameLocks noChangeAspect="1"/>
            </wp:cNvGraphicFramePr>
            <a:graphic>
              <a:graphicData uri="http://schemas.openxmlformats.org/drawingml/2006/picture">
                <pic:pic>
                  <pic:nvPicPr>
                    <pic:cNvPr id="0" name="er_model.png"/>
                    <pic:cNvPicPr/>
                  </pic:nvPicPr>
                  <pic:blipFill>
                    <a:blip r:embed="rId9"/>
                    <a:stretch>
                      <a:fillRect/>
                    </a:stretch>
                  </pic:blipFill>
                  <pic:spPr>
                    <a:xfrm>
                      <a:off x="0" y="0"/>
                      <a:ext cx="6400800" cy="3365511"/>
                    </a:xfrm>
                    <a:prstGeom prst="rect"/>
                  </pic:spPr>
                </pic:pic>
              </a:graphicData>
            </a:graphic>
          </wp:inline>
        </w:drawing>
      </w:r>
    </w:p>
    <w:p>
      <w:pPr>
        <w:jc w:val="center"/>
      </w:pPr>
      <w:r>
        <w:rPr>
          <w:b w:val="0"/>
          <w:i/>
          <w:sz w:val="18"/>
        </w:rPr>
        <w:t>Figure 1. ER model with 9 entities and 12 relationships</w:t>
      </w:r>
    </w:p>
    <w:p>
      <w:r>
        <w:rPr>
          <w:b w:val="0"/>
          <w:i w:val="0"/>
          <w:sz w:val="22"/>
        </w:rPr>
        <w:t>Two things in Figure 1 are worth pointing out before the EER model changes them. MANAGES is the only 1:1 relationship in the design: a warehouse has exactly one manager, and an employee manages at most one warehouse, so both sides are marked 1 and the warehouse side is drawn with a double line because every warehouse must have one. And INSPECTION has to be joined twice, once to SUPPLIER and once to PRODUCT, because plain ER has no way of saying that an inspection is about a supplier and a product taken together. Section 5.2 replaces those two links with one.</w:t>
      </w:r>
    </w:p>
    <w:p>
      <w:pPr>
        <w:pStyle w:val="Heading1"/>
      </w:pPr>
      <w:r>
        <w:rPr>
          <w:color w:val="000000"/>
        </w:rPr>
        <w:t>5. EER Model</w:t>
      </w:r>
    </w:p>
    <w:p>
      <w:r>
        <w:rPr>
          <w:b w:val="0"/>
          <w:i w:val="0"/>
          <w:sz w:val="22"/>
        </w:rPr>
        <w:t>An EER model is the same ER model with a few extra ideas added, so it can describe situations plain ER cannot. Figure 2 is the identical design from Figure 1, with everything EER contributes drawn shaded. Two of those ideas need a word on direction. Specialization works downwards: EMPLOYEE already existed and is split into MANAGER and DRIVER. Generalization works upwards: SHIPMENT and GOODS_RETURN already existed as separate entities, and noticing what they share creates GOODS_MOVEMENT above them. The two produce the same shape on paper and map to tables the same way, but they are arrived at from opposite ends.</w:t>
      </w:r>
    </w:p>
    <w:p>
      <w:pPr>
        <w:jc w:val="center"/>
      </w:pPr>
      <w:r>
        <w:drawing>
          <wp:inline xmlns:a="http://schemas.openxmlformats.org/drawingml/2006/main" xmlns:pic="http://schemas.openxmlformats.org/drawingml/2006/picture">
            <wp:extent cx="6400800" cy="4488135"/>
            <wp:docPr id="2" name="Picture 2"/>
            <wp:cNvGraphicFramePr>
              <a:graphicFrameLocks noChangeAspect="1"/>
            </wp:cNvGraphicFramePr>
            <a:graphic>
              <a:graphicData uri="http://schemas.openxmlformats.org/drawingml/2006/picture">
                <pic:pic>
                  <pic:nvPicPr>
                    <pic:cNvPr id="0" name="eer_model.png"/>
                    <pic:cNvPicPr/>
                  </pic:nvPicPr>
                  <pic:blipFill>
                    <a:blip r:embed="rId10"/>
                    <a:stretch>
                      <a:fillRect/>
                    </a:stretch>
                  </pic:blipFill>
                  <pic:spPr>
                    <a:xfrm>
                      <a:off x="0" y="0"/>
                      <a:ext cx="6400800" cy="4488135"/>
                    </a:xfrm>
                    <a:prstGeom prst="rect"/>
                  </pic:spPr>
                </pic:pic>
              </a:graphicData>
            </a:graphic>
          </wp:inline>
        </w:drawing>
      </w:r>
    </w:p>
    <w:p>
      <w:pPr>
        <w:jc w:val="center"/>
      </w:pPr>
      <w:r>
        <w:rPr>
          <w:b w:val="0"/>
          <w:i/>
          <w:sz w:val="18"/>
        </w:rPr>
        <w:t>Figure 2. The same model, extended with EER features</w:t>
      </w:r>
    </w:p>
    <w:p>
      <w:r>
        <w:rPr>
          <w:b w:val="0"/>
          <w:i w:val="0"/>
          <w:sz w:val="22"/>
        </w:rPr>
        <w:t>Figure 2 uses several pieces of notation that Figure 1 does not need. A double ellipse is a multivalued attribute, so SUPPLIER.Phone is drawn that way. A composite attribute is drawn as an ellipse with its parts hanging below it, which is how CUSTOMER.Address carries Street, City and Pincode. A dashed ellipse is a derived attribute, used for ORDERS.TotalAmt. A rectangle drawn around a whole relationship marks an aggregation, which section 5.2 covers. A weak entity has a double border and reaches its owner through a double diamond, which is why ORDER_ITEM and HAS are drawn that way. The generalization at the foot of the figure uses the same circle and double line as a specialization, because on paper the two constructs cannot be told apart.</w:t>
      </w:r>
    </w:p>
    <w:p>
      <w:r>
        <w:rPr>
          <w:b w:val="0"/>
          <w:i w:val="0"/>
          <w:sz w:val="22"/>
        </w:rPr>
        <w:t>Each of the three hierarchies carries three marks, and every mark answers a different question:</w:t>
      </w:r>
    </w:p>
    <w:p>
      <w:pPr>
        <w:pStyle w:val="ListBullet"/>
      </w:pPr>
      <w:r>
        <w:rPr>
          <w:sz w:val="21"/>
        </w:rPr>
        <w:t>The letter in the circle says whether the subclasses may overlap. A d means disjoint, so a row joins at most one subclass: an employee is a manager or a driver and never both, and a movement is a shipment or a return. An o means overlapping, so a row may join more than one: a product can be both perishable and hazardous, and its ProductID then appears in both subclass tables.</w:t>
      </w:r>
    </w:p>
    <w:p>
      <w:pPr>
        <w:pStyle w:val="ListBullet"/>
      </w:pPr>
      <w:r>
        <w:rPr>
          <w:sz w:val="21"/>
        </w:rPr>
        <w:t>The line running into the circle says whether every row has to join a subclass at all. A double line means total, which is why EMPLOYEE and GOODS_MOVEMENT have one. A single line means partial, which is why PRODUCT has one: most products are neither perishable nor hazardous.</w:t>
      </w:r>
    </w:p>
    <w:p>
      <w:pPr>
        <w:pStyle w:val="ListBullet"/>
      </w:pPr>
      <w:r>
        <w:rPr>
          <w:sz w:val="21"/>
        </w:rPr>
        <w:t>The subset symbol on each line from a subclass up to the circle points at the superclass and says that every row of the subclass is also a row of the superclass. It is the reason the subclass tables share the superclass key rather than inventing one of their own.</w:t>
      </w:r>
    </w:p>
    <w:p>
      <w:r>
        <w:rPr>
          <w:b w:val="0"/>
          <w:i w:val="0"/>
          <w:sz w:val="22"/>
        </w:rPr>
        <w:t>Because SHIPMENT and GOODS_RETURN now sit under one superclass, the two links each of them had to ORDERS and to WAREHOUSE become one link each, MOVEMENT_FOR and HANDLED_AT, and their two keys collapse into the single key MovementID. What stays with a subclass is what only that subclass has: DeliveryDate on SHIPMENT, Reason and RefundAmt on GOODS_RETURN.</w:t>
      </w:r>
    </w:p>
    <w:p>
      <w:pPr>
        <w:pStyle w:val="Heading2"/>
      </w:pPr>
      <w:r>
        <w:rPr>
          <w:color w:val="000000"/>
        </w:rPr>
        <w:t>5.1 What EER Added and Why</w:t>
      </w:r>
    </w:p>
    <w:tbl>
      <w:tblPr>
        <w:tblStyle w:val="TableGrid"/>
        <w:tblW w:type="auto" w:w="0"/>
        <w:tblLook w:firstColumn="1" w:firstRow="1" w:lastColumn="0" w:lastRow="0" w:noHBand="0" w:noVBand="1" w:val="04A0"/>
      </w:tblPr>
      <w:tblGrid>
        <w:gridCol w:w="3408"/>
        <w:gridCol w:w="3408"/>
        <w:gridCol w:w="3408"/>
      </w:tblGrid>
      <w:tr>
        <w:tc>
          <w:tcPr>
            <w:tcW w:type="dxa" w:w="2016"/>
          </w:tcPr>
          <w:p>
            <w:r/>
            <w:r>
              <w:rPr>
                <w:b/>
                <w:sz w:val="18"/>
              </w:rPr>
              <w:t>EER feature</w:t>
            </w:r>
          </w:p>
        </w:tc>
        <w:tc>
          <w:tcPr>
            <w:tcW w:type="dxa" w:w="2160"/>
          </w:tcPr>
          <w:p>
            <w:r/>
            <w:r>
              <w:rPr>
                <w:b/>
                <w:sz w:val="18"/>
              </w:rPr>
              <w:t>Where</w:t>
            </w:r>
          </w:p>
        </w:tc>
        <w:tc>
          <w:tcPr>
            <w:tcW w:type="dxa" w:w="5328"/>
          </w:tcPr>
          <w:p>
            <w:r/>
            <w:r>
              <w:rPr>
                <w:b/>
                <w:sz w:val="18"/>
              </w:rPr>
              <w:t>Why it is needed</w:t>
            </w:r>
          </w:p>
        </w:tc>
      </w:tr>
      <w:tr>
        <w:tc>
          <w:tcPr>
            <w:tcW w:type="dxa" w:w="2016"/>
          </w:tcPr>
          <w:p>
            <w:r/>
            <w:r>
              <w:rPr>
                <w:sz w:val="18"/>
              </w:rPr>
              <w:t>Weak entity</w:t>
            </w:r>
          </w:p>
        </w:tc>
        <w:tc>
          <w:tcPr>
            <w:tcW w:type="dxa" w:w="2160"/>
          </w:tcPr>
          <w:p>
            <w:r/>
            <w:r>
              <w:rPr>
                <w:sz w:val="18"/>
              </w:rPr>
              <w:t>ORDER_ITEM</w:t>
            </w:r>
          </w:p>
        </w:tc>
        <w:tc>
          <w:tcPr>
            <w:tcW w:type="dxa" w:w="5328"/>
          </w:tcPr>
          <w:p>
            <w:r/>
            <w:r>
              <w:rPr>
                <w:sz w:val="18"/>
              </w:rPr>
              <w:t>An order line means nothing without its order, and ItemNo (1, 2, 3 and so on) is only unique inside one order, so its key is OrderID + ItemNo. This replaces the M:N CONTAINS relationship.</w:t>
            </w:r>
          </w:p>
        </w:tc>
      </w:tr>
      <w:tr>
        <w:tc>
          <w:tcPr>
            <w:tcW w:type="dxa" w:w="2016"/>
          </w:tcPr>
          <w:p>
            <w:r/>
            <w:r>
              <w:rPr>
                <w:sz w:val="18"/>
              </w:rPr>
              <w:t>Specialization</w:t>
              <w:br/>
              <w:t>(total, disjoint)</w:t>
            </w:r>
          </w:p>
        </w:tc>
        <w:tc>
          <w:tcPr>
            <w:tcW w:type="dxa" w:w="2160"/>
          </w:tcPr>
          <w:p>
            <w:r/>
            <w:r>
              <w:rPr>
                <w:sz w:val="18"/>
              </w:rPr>
              <w:t>EMPLOYEE to</w:t>
              <w:br/>
              <w:t>MANAGER, DRIVER</w:t>
            </w:r>
          </w:p>
        </w:tc>
        <w:tc>
          <w:tcPr>
            <w:tcW w:type="dxa" w:w="5328"/>
          </w:tcPr>
          <w:p>
            <w:r/>
            <w:r>
              <w:rPr>
                <w:sz w:val="18"/>
              </w:rPr>
              <w:t>Every employee is exactly one of the two, never both and never neither. A manager has Level and Bonus, a driver has LicenseNo and Expiry.</w:t>
            </w:r>
          </w:p>
        </w:tc>
      </w:tr>
      <w:tr>
        <w:tc>
          <w:tcPr>
            <w:tcW w:type="dxa" w:w="2016"/>
          </w:tcPr>
          <w:p>
            <w:r/>
            <w:r>
              <w:rPr>
                <w:sz w:val="18"/>
              </w:rPr>
              <w:t>Specialization</w:t>
              <w:br/>
              <w:t>(partial, overlapping)</w:t>
            </w:r>
          </w:p>
        </w:tc>
        <w:tc>
          <w:tcPr>
            <w:tcW w:type="dxa" w:w="2160"/>
          </w:tcPr>
          <w:p>
            <w:r/>
            <w:r>
              <w:rPr>
                <w:sz w:val="18"/>
              </w:rPr>
              <w:t>PRODUCT to</w:t>
              <w:br/>
              <w:t>PERISHABLE_PRODUCT,</w:t>
              <w:br/>
              <w:t>HAZARDOUS_PRODUCT</w:t>
            </w:r>
          </w:p>
        </w:tc>
        <w:tc>
          <w:tcPr>
            <w:tcW w:type="dxa" w:w="5328"/>
          </w:tcPr>
          <w:p>
            <w:r/>
            <w:r>
              <w:rPr>
                <w:sz w:val="18"/>
              </w:rPr>
              <w:t>Only some products are perishable and only some are hazardous, so the specialization is partial: a plain product joins neither subclass. It is also overlapping, because a product can be both, a vaccine being the obvious case. That is what the o circle here says and the d circles elsewhere deny.</w:t>
            </w:r>
          </w:p>
        </w:tc>
      </w:tr>
      <w:tr>
        <w:tc>
          <w:tcPr>
            <w:tcW w:type="dxa" w:w="2016"/>
          </w:tcPr>
          <w:p>
            <w:r/>
            <w:r>
              <w:rPr>
                <w:sz w:val="18"/>
              </w:rPr>
              <w:t>Multivalued attribute</w:t>
            </w:r>
          </w:p>
        </w:tc>
        <w:tc>
          <w:tcPr>
            <w:tcW w:type="dxa" w:w="2160"/>
          </w:tcPr>
          <w:p>
            <w:r/>
            <w:r>
              <w:rPr>
                <w:sz w:val="18"/>
              </w:rPr>
              <w:t>SUPPLIER.Phone</w:t>
            </w:r>
          </w:p>
        </w:tc>
        <w:tc>
          <w:tcPr>
            <w:tcW w:type="dxa" w:w="5328"/>
          </w:tcPr>
          <w:p>
            <w:r/>
            <w:r>
              <w:rPr>
                <w:sz w:val="18"/>
              </w:rPr>
              <w:t>One supplier can have several phone numbers.</w:t>
            </w:r>
          </w:p>
        </w:tc>
      </w:tr>
      <w:tr>
        <w:tc>
          <w:tcPr>
            <w:tcW w:type="dxa" w:w="2016"/>
          </w:tcPr>
          <w:p>
            <w:r/>
            <w:r>
              <w:rPr>
                <w:sz w:val="18"/>
              </w:rPr>
              <w:t>Composite attribute</w:t>
            </w:r>
          </w:p>
        </w:tc>
        <w:tc>
          <w:tcPr>
            <w:tcW w:type="dxa" w:w="2160"/>
          </w:tcPr>
          <w:p>
            <w:r/>
            <w:r>
              <w:rPr>
                <w:sz w:val="18"/>
              </w:rPr>
              <w:t>CUSTOMER.Address</w:t>
            </w:r>
          </w:p>
        </w:tc>
        <w:tc>
          <w:tcPr>
            <w:tcW w:type="dxa" w:w="5328"/>
          </w:tcPr>
          <w:p>
            <w:r/>
            <w:r>
              <w:rPr>
                <w:sz w:val="18"/>
              </w:rPr>
              <w:t>Address is made of Street, City and Pincode, which we sometimes need separately.</w:t>
            </w:r>
          </w:p>
        </w:tc>
      </w:tr>
      <w:tr>
        <w:tc>
          <w:tcPr>
            <w:tcW w:type="dxa" w:w="2016"/>
          </w:tcPr>
          <w:p>
            <w:r/>
            <w:r>
              <w:rPr>
                <w:sz w:val="18"/>
              </w:rPr>
              <w:t>Derived attribute</w:t>
            </w:r>
          </w:p>
        </w:tc>
        <w:tc>
          <w:tcPr>
            <w:tcW w:type="dxa" w:w="2160"/>
          </w:tcPr>
          <w:p>
            <w:r/>
            <w:r>
              <w:rPr>
                <w:sz w:val="18"/>
              </w:rPr>
              <w:t>ORDERS.TotalAmt</w:t>
            </w:r>
          </w:p>
        </w:tc>
        <w:tc>
          <w:tcPr>
            <w:tcW w:type="dxa" w:w="5328"/>
          </w:tcPr>
          <w:p>
            <w:r/>
            <w:r>
              <w:rPr>
                <w:sz w:val="18"/>
              </w:rPr>
              <w:t>It can always be worked out by adding up the order lines, so storing it would only create a second copy that can go stale.</w:t>
            </w:r>
          </w:p>
        </w:tc>
      </w:tr>
      <w:tr>
        <w:tc>
          <w:tcPr>
            <w:tcW w:type="dxa" w:w="2016"/>
          </w:tcPr>
          <w:p>
            <w:r/>
            <w:r>
              <w:rPr>
                <w:sz w:val="18"/>
              </w:rPr>
              <w:t>Recursive relationship</w:t>
            </w:r>
          </w:p>
        </w:tc>
        <w:tc>
          <w:tcPr>
            <w:tcW w:type="dxa" w:w="2160"/>
          </w:tcPr>
          <w:p>
            <w:r/>
            <w:r>
              <w:rPr>
                <w:sz w:val="18"/>
              </w:rPr>
              <w:t>EMPLOYEE</w:t>
              <w:br/>
              <w:t>SUPERVISES EMPLOYEE</w:t>
            </w:r>
          </w:p>
        </w:tc>
        <w:tc>
          <w:tcPr>
            <w:tcW w:type="dxa" w:w="5328"/>
          </w:tcPr>
          <w:p>
            <w:r/>
            <w:r>
              <w:rPr>
                <w:sz w:val="18"/>
              </w:rPr>
              <w:t>An employee reports to another employee, so the relationship joins one entity to itself.</w:t>
            </w:r>
          </w:p>
        </w:tc>
      </w:tr>
      <w:tr>
        <w:tc>
          <w:tcPr>
            <w:tcW w:type="dxa" w:w="2016"/>
          </w:tcPr>
          <w:p>
            <w:r/>
            <w:r>
              <w:rPr>
                <w:sz w:val="18"/>
              </w:rPr>
              <w:t>Generalization</w:t>
              <w:br/>
              <w:t>(total, disjoint)</w:t>
            </w:r>
          </w:p>
        </w:tc>
        <w:tc>
          <w:tcPr>
            <w:tcW w:type="dxa" w:w="2160"/>
          </w:tcPr>
          <w:p>
            <w:r/>
            <w:r>
              <w:rPr>
                <w:sz w:val="18"/>
              </w:rPr>
              <w:t>SHIPMENT + GOODS_RETURN</w:t>
              <w:br/>
              <w:t>to GOODS_MOVEMENT</w:t>
            </w:r>
          </w:p>
        </w:tc>
        <w:tc>
          <w:tcPr>
            <w:tcW w:type="dxa" w:w="5328"/>
          </w:tcPr>
          <w:p>
            <w:r/>
            <w:r>
              <w:rPr>
                <w:sz w:val="18"/>
              </w:rPr>
              <w:t>Both entities were already in the ER model, and both turned out to be one order's goods moving on a date with a status. Those shared attributes, and the links to ORDERS and WAREHOUSE, are lifted into a common superclass. Built upwards from what existed, which is what makes it generalization rather than specialization. ShipmentID and ReturnID collapse into one key, MovementID.</w:t>
            </w:r>
          </w:p>
        </w:tc>
      </w:tr>
      <w:tr>
        <w:tc>
          <w:tcPr>
            <w:tcW w:type="dxa" w:w="2016"/>
          </w:tcPr>
          <w:p>
            <w:r/>
            <w:r>
              <w:rPr>
                <w:sz w:val="18"/>
              </w:rPr>
              <w:t>Aggregation</w:t>
            </w:r>
          </w:p>
        </w:tc>
        <w:tc>
          <w:tcPr>
            <w:tcW w:type="dxa" w:w="2160"/>
          </w:tcPr>
          <w:p>
            <w:r/>
            <w:r>
              <w:rPr>
                <w:sz w:val="18"/>
              </w:rPr>
              <w:t>SUPPLIER SUPPLIES PRODUCT,</w:t>
              <w:br/>
              <w:t>then INSPECTED_IN</w:t>
            </w:r>
          </w:p>
        </w:tc>
        <w:tc>
          <w:tcPr>
            <w:tcW w:type="dxa" w:w="5328"/>
          </w:tcPr>
          <w:p>
            <w:r/>
            <w:r>
              <w:rPr>
                <w:sz w:val="18"/>
              </w:rPr>
              <w:t>An inspection is of one supplier's supply of one product, not of the supplier and not of the product. Boxing the whole SUPPLIES relationship and treating it as one object lets INSPECTION point at the pair, replacing the two separate links the ER model needed.</w:t>
            </w:r>
          </w:p>
        </w:tc>
      </w:tr>
      <w:tr>
        <w:tc>
          <w:tcPr>
            <w:tcW w:type="dxa" w:w="2016"/>
          </w:tcPr>
          <w:p>
            <w:r/>
            <w:r>
              <w:rPr>
                <w:sz w:val="18"/>
              </w:rPr>
              <w:t>1:1 relationship</w:t>
              <w:br/>
              <w:t>made precise</w:t>
            </w:r>
          </w:p>
        </w:tc>
        <w:tc>
          <w:tcPr>
            <w:tcW w:type="dxa" w:w="2160"/>
          </w:tcPr>
          <w:p>
            <w:r/>
            <w:r>
              <w:rPr>
                <w:sz w:val="18"/>
              </w:rPr>
              <w:t>WAREHOUSE MANAGES</w:t>
              <w:br/>
              <w:t>to MANAGER</w:t>
            </w:r>
          </w:p>
        </w:tc>
        <w:tc>
          <w:tcPr>
            <w:tcW w:type="dxa" w:w="5328"/>
          </w:tcPr>
          <w:p>
            <w:r/>
            <w:r>
              <w:rPr>
                <w:sz w:val="18"/>
              </w:rPr>
              <w:t>The ER model can only say a warehouse is managed by an employee. Once EMPLOYEE is specialized, the same 1:1 relationship joins WAREHOUSE to MANAGER, which is what the business rule actually means.</w:t>
            </w:r>
          </w:p>
        </w:tc>
      </w:tr>
    </w:tbl>
    <w:p>
      <w:pPr>
        <w:pStyle w:val="Heading2"/>
      </w:pPr>
      <w:r>
        <w:rPr>
          <w:color w:val="000000"/>
        </w:rPr>
        <w:t>5.2 Aggregation</w:t>
      </w:r>
    </w:p>
    <w:p>
      <w:r>
        <w:rPr>
          <w:b w:val="0"/>
          <w:i w:val="0"/>
          <w:sz w:val="22"/>
        </w:rPr>
        <w:t>Aggregation is drawn on its own in Figure 3, because the box it needs would sit on top of half of Figure 2. The box encloses SUPPLIER, SUPPLIES and PRODUCT and says: treat that whole arrangement as one object. INSPECTION then joins to the box rather than to either entity inside it, which is exactly the statement plain ER could not make. When this maps to tables the aggregate is the SUPPLIES table, and INSPECTION carries SupplierID and ProductID together as one foreign key into it, so an inspection can only ever name a pair that really is supplied.</w:t>
      </w:r>
    </w:p>
    <w:p>
      <w:pPr>
        <w:jc w:val="center"/>
      </w:pPr>
      <w:r>
        <w:drawing>
          <wp:inline xmlns:a="http://schemas.openxmlformats.org/drawingml/2006/main" xmlns:pic="http://schemas.openxmlformats.org/drawingml/2006/picture">
            <wp:extent cx="4572000" cy="3509360"/>
            <wp:docPr id="3" name="Picture 3"/>
            <wp:cNvGraphicFramePr>
              <a:graphicFrameLocks noChangeAspect="1"/>
            </wp:cNvGraphicFramePr>
            <a:graphic>
              <a:graphicData uri="http://schemas.openxmlformats.org/drawingml/2006/picture">
                <pic:pic>
                  <pic:nvPicPr>
                    <pic:cNvPr id="0" name="eer_aggregation.png"/>
                    <pic:cNvPicPr/>
                  </pic:nvPicPr>
                  <pic:blipFill>
                    <a:blip r:embed="rId11"/>
                    <a:stretch>
                      <a:fillRect/>
                    </a:stretch>
                  </pic:blipFill>
                  <pic:spPr>
                    <a:xfrm>
                      <a:off x="0" y="0"/>
                      <a:ext cx="4572000" cy="3509360"/>
                    </a:xfrm>
                    <a:prstGeom prst="rect"/>
                  </pic:spPr>
                </pic:pic>
              </a:graphicData>
            </a:graphic>
          </wp:inline>
        </w:drawing>
      </w:r>
    </w:p>
    <w:p>
      <w:pPr>
        <w:jc w:val="center"/>
      </w:pPr>
      <w:r>
        <w:rPr>
          <w:b w:val="0"/>
          <w:i/>
          <w:sz w:val="18"/>
        </w:rPr>
        <w:t>Figure 3. The aggregation: INSPECTION joins the boxed SUPPLIES arrangement, not its members</w:t>
      </w:r>
    </w:p>
    <w:p>
      <w:pPr>
        <w:pStyle w:val="Heading2"/>
      </w:pPr>
      <w:r>
        <w:rPr>
          <w:color w:val="000000"/>
        </w:rPr>
        <w:t>5.3 The Weak Entity</w:t>
      </w:r>
    </w:p>
    <w:p>
      <w:r>
        <w:rPr>
          <w:b w:val="0"/>
          <w:i/>
          <w:sz w:val="22"/>
        </w:rPr>
        <w:t>The weak entity is worth singling out. ORDER_ITEM is drawn with a double border because it cannot exist on its own, and the diamond joining it to ORDERS is drawn as a double diamond to show that this is the relationship that gives it its identity. Its partial key, ItemNo, is underlined with a dashed line because it is only unique within one order.</w:t>
      </w:r>
    </w:p>
    <w:p>
      <w:pPr>
        <w:pStyle w:val="Heading1"/>
      </w:pPr>
      <w:r>
        <w:rPr>
          <w:color w:val="000000"/>
        </w:rPr>
        <w:t>6. Converting the EER Model into Tables</w:t>
      </w:r>
    </w:p>
    <w:p>
      <w:r>
        <w:rPr>
          <w:b w:val="0"/>
          <w:i w:val="0"/>
          <w:sz w:val="22"/>
        </w:rPr>
        <w:t>The EER model is converted into relational tables using the standard mapping rules:</w:t>
      </w:r>
    </w:p>
    <w:p>
      <w:pPr>
        <w:pStyle w:val="ListBullet"/>
      </w:pPr>
      <w:r>
        <w:rPr>
          <w:sz w:val="21"/>
        </w:rPr>
        <w:t>Each entity becomes one table, and its key attribute becomes the primary key.</w:t>
      </w:r>
    </w:p>
    <w:p>
      <w:pPr>
        <w:pStyle w:val="ListBullet"/>
      </w:pPr>
      <w:r>
        <w:rPr>
          <w:sz w:val="21"/>
        </w:rPr>
        <w:t>Each 1:N relationship becomes a foreign key stored on the 'many' side.</w:t>
      </w:r>
    </w:p>
    <w:p>
      <w:pPr>
        <w:pStyle w:val="ListBullet"/>
      </w:pPr>
      <w:r>
        <w:rPr>
          <w:sz w:val="21"/>
        </w:rPr>
        <w:t>Each M:N relationship becomes a new table whose primary key is the two keys put together.</w:t>
      </w:r>
    </w:p>
    <w:p>
      <w:pPr>
        <w:pStyle w:val="ListBullet"/>
      </w:pPr>
      <w:r>
        <w:rPr>
          <w:sz w:val="21"/>
        </w:rPr>
        <w:t>Each multivalued attribute becomes its own small table.</w:t>
      </w:r>
    </w:p>
    <w:p>
      <w:pPr>
        <w:pStyle w:val="ListBullet"/>
      </w:pPr>
      <w:r>
        <w:rPr>
          <w:sz w:val="21"/>
        </w:rPr>
        <w:t>Each composite attribute becomes one column per part.</w:t>
      </w:r>
    </w:p>
    <w:p>
      <w:pPr>
        <w:pStyle w:val="ListBullet"/>
      </w:pPr>
      <w:r>
        <w:rPr>
          <w:sz w:val="21"/>
        </w:rPr>
        <w:t>A derived attribute is not stored at all, it is calculated when needed.</w:t>
      </w:r>
    </w:p>
    <w:p>
      <w:pPr>
        <w:pStyle w:val="ListBullet"/>
      </w:pPr>
      <w:r>
        <w:rPr>
          <w:sz w:val="21"/>
        </w:rPr>
        <w:t>A weak entity becomes a table keyed by its owner's key plus its own partial key.</w:t>
      </w:r>
    </w:p>
    <w:p>
      <w:pPr>
        <w:pStyle w:val="ListBullet"/>
      </w:pPr>
      <w:r>
        <w:rPr>
          <w:sz w:val="21"/>
        </w:rPr>
        <w:t>A specialization becomes one table per subclass, each sharing the superclass's key.</w:t>
      </w:r>
    </w:p>
    <w:p>
      <w:pPr>
        <w:pStyle w:val="ListBullet"/>
      </w:pPr>
      <w:r>
        <w:rPr>
          <w:sz w:val="21"/>
        </w:rPr>
        <w:t>A generalization is mapped the same way: one table for the superclass and one for each subclass, each subclass keyed by the superclass's key.</w:t>
      </w:r>
    </w:p>
    <w:p>
      <w:pPr>
        <w:pStyle w:val="ListBullet"/>
      </w:pPr>
      <w:r>
        <w:rPr>
          <w:sz w:val="21"/>
        </w:rPr>
        <w:t>Each 1:1 relationship becomes a foreign key on the side where taking part is compulsory, with a UNIQUE constraint so that one row cannot be claimed twice.</w:t>
      </w:r>
    </w:p>
    <w:p>
      <w:pPr>
        <w:pStyle w:val="ListBullet"/>
      </w:pPr>
      <w:r>
        <w:rPr>
          <w:sz w:val="21"/>
        </w:rPr>
        <w:t>An aggregation becomes a foreign key pointing at the primary key of the table the aggregated relationship produced.</w:t>
      </w:r>
    </w:p>
    <w:p>
      <w:r>
        <w:rPr>
          <w:b w:val="0"/>
          <w:i w:val="0"/>
          <w:sz w:val="22"/>
        </w:rPr>
        <w:t>Applying these rules gives the tables that the rest of the report works on. Two of them leave a mark worth noting. MANAGES puts ManagerID on WAREHOUSE with a UNIQUE constraint, which together with EMPLOYEE holding WarehouseID makes the two tables reference each other, so one of the two columns has to be filled in after both rows exist. And the aggregation gives INSPECTION a foreign key of two columns at once, SupplierID with ProductID, pointing at SUPPLIES rather than at SUPPLIER and PRODUCT separately. The finished set of tables is listed in section 10.</w:t>
      </w:r>
    </w:p>
    <w:p>
      <w:pPr>
        <w:pStyle w:val="Heading1"/>
      </w:pPr>
      <w:r>
        <w:rPr>
          <w:color w:val="000000"/>
        </w:rPr>
        <w:t>7. Sample Data and Functional Dependencies</w:t>
      </w:r>
    </w:p>
    <w:p>
      <w:r>
        <w:rPr>
          <w:b w:val="0"/>
          <w:i w:val="0"/>
          <w:sz w:val="22"/>
        </w:rPr>
        <w:t>A functional dependency, written X -&gt; Y, means that if you know X then Y is fixed. For example CustID -&gt; CName: once the customer's ID is known, the name is decided. Every normal form is a rule about which dependencies a table is allowed to contain, so the dependencies have to be settled before any splitting starts.</w:t>
      </w:r>
    </w:p>
    <w:p>
      <w:r>
        <w:rPr>
          <w:b w:val="0"/>
          <w:i w:val="0"/>
          <w:sz w:val="22"/>
        </w:rPr>
        <w:t>Sample rows are what make that possible. Data can never prove a dependency, because a later row may still break it, but a single pair of rows can disprove one: if two rows agree on X and disagree on Y, then X -&gt; Y is dead. So each relation below is filled with at least five rows, every candidate dependency is checked against them, and the survivors are kept only if they also make sense as a rule of the business.</w:t>
      </w:r>
    </w:p>
    <w:p>
      <w:pPr>
        <w:jc w:val="center"/>
      </w:pPr>
      <w:r>
        <w:drawing>
          <wp:inline xmlns:a="http://schemas.openxmlformats.org/drawingml/2006/main" xmlns:pic="http://schemas.openxmlformats.org/drawingml/2006/picture">
            <wp:extent cx="6400800" cy="3346572"/>
            <wp:docPr id="4" name="Picture 4"/>
            <wp:cNvGraphicFramePr>
              <a:graphicFrameLocks noChangeAspect="1"/>
            </wp:cNvGraphicFramePr>
            <a:graphic>
              <a:graphicData uri="http://schemas.openxmlformats.org/drawingml/2006/picture">
                <pic:pic>
                  <pic:nvPicPr>
                    <pic:cNvPr id="0" name="sample_data.png"/>
                    <pic:cNvPicPr/>
                  </pic:nvPicPr>
                  <pic:blipFill>
                    <a:blip r:embed="rId12"/>
                    <a:stretch>
                      <a:fillRect/>
                    </a:stretch>
                  </pic:blipFill>
                  <pic:spPr>
                    <a:xfrm>
                      <a:off x="0" y="0"/>
                      <a:ext cx="6400800" cy="3346572"/>
                    </a:xfrm>
                    <a:prstGeom prst="rect"/>
                  </pic:spPr>
                </pic:pic>
              </a:graphicData>
            </a:graphic>
          </wp:inline>
        </w:drawing>
      </w:r>
    </w:p>
    <w:p>
      <w:pPr>
        <w:jc w:val="center"/>
      </w:pPr>
      <w:r>
        <w:rPr>
          <w:b w:val="0"/>
          <w:i/>
          <w:sz w:val="18"/>
        </w:rPr>
        <w:t>Figure 4. Sample rows used for the dependency analysis. The seven ORDER_LINE rows are numbered 1 to 7 from the top.</w:t>
      </w:r>
    </w:p>
    <w:p>
      <w:r>
        <w:rPr>
          <w:b w:val="0"/>
          <w:i w:val="0"/>
          <w:sz w:val="22"/>
        </w:rPr>
        <w:t>ORDER_LINE holds every order and product fact in one relation, which is the state the design is in before normalization. DELIVERY_DUTY records which driver took an order out in which city, under two rules the transport team works to: each driver covers exactly one city, and within a city an order always goes to the same driver.</w:t>
      </w:r>
    </w:p>
    <w:p>
      <w:pPr>
        <w:pStyle w:val="Heading2"/>
      </w:pPr>
      <w:r>
        <w:rPr>
          <w:color w:val="000000"/>
        </w:rPr>
        <w:t>7.1 Dependencies That Hold</w:t>
      </w:r>
    </w:p>
    <w:tbl>
      <w:tblPr>
        <w:tblStyle w:val="TableGrid"/>
        <w:tblW w:type="auto" w:w="0"/>
        <w:tblLook w:firstColumn="1" w:firstRow="1" w:lastColumn="0" w:lastRow="0" w:noHBand="0" w:noVBand="1" w:val="04A0"/>
      </w:tblPr>
      <w:tblGrid>
        <w:gridCol w:w="3408"/>
        <w:gridCol w:w="3408"/>
        <w:gridCol w:w="3408"/>
      </w:tblGrid>
      <w:tr>
        <w:tc>
          <w:tcPr>
            <w:tcW w:type="dxa" w:w="720"/>
          </w:tcPr>
          <w:p>
            <w:r/>
            <w:r>
              <w:rPr>
                <w:b/>
                <w:sz w:val="18"/>
              </w:rPr>
              <w:t>Ref</w:t>
            </w:r>
          </w:p>
        </w:tc>
        <w:tc>
          <w:tcPr>
            <w:tcW w:type="dxa" w:w="3312"/>
          </w:tcPr>
          <w:p>
            <w:r/>
            <w:r>
              <w:rPr>
                <w:b/>
                <w:sz w:val="18"/>
              </w:rPr>
              <w:t>Dependency</w:t>
            </w:r>
          </w:p>
        </w:tc>
        <w:tc>
          <w:tcPr>
            <w:tcW w:type="dxa" w:w="5472"/>
          </w:tcPr>
          <w:p>
            <w:r/>
            <w:r>
              <w:rPr>
                <w:b/>
                <w:sz w:val="18"/>
              </w:rPr>
              <w:t>Evidence in the sample rows</w:t>
            </w:r>
          </w:p>
        </w:tc>
      </w:tr>
      <w:tr>
        <w:tc>
          <w:tcPr>
            <w:tcW w:type="dxa" w:w="720"/>
          </w:tcPr>
          <w:p>
            <w:r/>
            <w:r>
              <w:rPr>
                <w:sz w:val="18"/>
              </w:rPr>
              <w:t>F1</w:t>
            </w:r>
          </w:p>
        </w:tc>
        <w:tc>
          <w:tcPr>
            <w:tcW w:type="dxa" w:w="3312"/>
          </w:tcPr>
          <w:p>
            <w:r/>
            <w:r>
              <w:rPr>
                <w:sz w:val="18"/>
              </w:rPr>
              <w:t>OrderID -&gt; OrderDate, Status, CustID</w:t>
            </w:r>
          </w:p>
        </w:tc>
        <w:tc>
          <w:tcPr>
            <w:tcW w:type="dxa" w:w="5472"/>
          </w:tcPr>
          <w:p>
            <w:r/>
            <w:r>
              <w:rPr>
                <w:sz w:val="18"/>
              </w:rPr>
              <w:t>Rows 1 and 2 are both O-101 and agree on all three columns, and rows 6 and 7 do the same for O-105.</w:t>
            </w:r>
          </w:p>
        </w:tc>
      </w:tr>
      <w:tr>
        <w:tc>
          <w:tcPr>
            <w:tcW w:type="dxa" w:w="720"/>
          </w:tcPr>
          <w:p>
            <w:r/>
            <w:r>
              <w:rPr>
                <w:sz w:val="18"/>
              </w:rPr>
              <w:t>F2</w:t>
            </w:r>
          </w:p>
        </w:tc>
        <w:tc>
          <w:tcPr>
            <w:tcW w:type="dxa" w:w="3312"/>
          </w:tcPr>
          <w:p>
            <w:r/>
            <w:r>
              <w:rPr>
                <w:sz w:val="18"/>
              </w:rPr>
              <w:t>CustID -&gt; CName, Street, City</w:t>
            </w:r>
          </w:p>
        </w:tc>
        <w:tc>
          <w:tcPr>
            <w:tcW w:type="dxa" w:w="5472"/>
          </w:tcPr>
          <w:p>
            <w:r/>
            <w:r>
              <w:rPr>
                <w:sz w:val="18"/>
              </w:rPr>
              <w:t>C-01 appears in rows 1, 2 and 4 with the same name, street and city, and C-03 appears in rows 3, 6 and 7.</w:t>
            </w:r>
          </w:p>
        </w:tc>
      </w:tr>
      <w:tr>
        <w:tc>
          <w:tcPr>
            <w:tcW w:type="dxa" w:w="720"/>
          </w:tcPr>
          <w:p>
            <w:r/>
            <w:r>
              <w:rPr>
                <w:sz w:val="18"/>
              </w:rPr>
              <w:t>F3</w:t>
            </w:r>
          </w:p>
        </w:tc>
        <w:tc>
          <w:tcPr>
            <w:tcW w:type="dxa" w:w="3312"/>
          </w:tcPr>
          <w:p>
            <w:r/>
            <w:r>
              <w:rPr>
                <w:sz w:val="18"/>
              </w:rPr>
              <w:t>City -&gt; State</w:t>
            </w:r>
          </w:p>
        </w:tc>
        <w:tc>
          <w:tcPr>
            <w:tcW w:type="dxa" w:w="5472"/>
          </w:tcPr>
          <w:p>
            <w:r/>
            <w:r>
              <w:rPr>
                <w:sz w:val="18"/>
              </w:rPr>
              <w:t>Chennai always carries Tamil Nadu (rows 1, 2, 4, 5) and Mumbai always carries Maharashtra (rows 3, 6, 7).</w:t>
            </w:r>
          </w:p>
        </w:tc>
      </w:tr>
      <w:tr>
        <w:tc>
          <w:tcPr>
            <w:tcW w:type="dxa" w:w="720"/>
          </w:tcPr>
          <w:p>
            <w:r/>
            <w:r>
              <w:rPr>
                <w:sz w:val="18"/>
              </w:rPr>
              <w:t>F4</w:t>
            </w:r>
          </w:p>
        </w:tc>
        <w:tc>
          <w:tcPr>
            <w:tcW w:type="dxa" w:w="3312"/>
          </w:tcPr>
          <w:p>
            <w:r/>
            <w:r>
              <w:rPr>
                <w:sz w:val="18"/>
              </w:rPr>
              <w:t>ProductID -&gt; PName, Category, Price</w:t>
            </w:r>
          </w:p>
        </w:tc>
        <w:tc>
          <w:tcPr>
            <w:tcW w:type="dxa" w:w="5472"/>
          </w:tcPr>
          <w:p>
            <w:r/>
            <w:r>
              <w:rPr>
                <w:sz w:val="18"/>
              </w:rPr>
              <w:t>P-100 gives 480 in rows 1 and 4, P-104 gives 132 in rows 2 and 6, P-210 gives 96 in rows 3 and 7.</w:t>
            </w:r>
          </w:p>
        </w:tc>
      </w:tr>
      <w:tr>
        <w:tc>
          <w:tcPr>
            <w:tcW w:type="dxa" w:w="720"/>
          </w:tcPr>
          <w:p>
            <w:r/>
            <w:r>
              <w:rPr>
                <w:sz w:val="18"/>
              </w:rPr>
              <w:t>F5</w:t>
            </w:r>
          </w:p>
        </w:tc>
        <w:tc>
          <w:tcPr>
            <w:tcW w:type="dxa" w:w="3312"/>
          </w:tcPr>
          <w:p>
            <w:r/>
            <w:r>
              <w:rPr>
                <w:sz w:val="18"/>
              </w:rPr>
              <w:t>{OrderID, ProductID} -&gt; Qty</w:t>
            </w:r>
          </w:p>
        </w:tc>
        <w:tc>
          <w:tcPr>
            <w:tcW w:type="dxa" w:w="5472"/>
          </w:tcPr>
          <w:p>
            <w:r/>
            <w:r>
              <w:rPr>
                <w:sz w:val="18"/>
              </w:rPr>
              <w:t>The pair is unique across the seven rows, and neither column alone fixes Qty (see N1 and N2).</w:t>
            </w:r>
          </w:p>
        </w:tc>
      </w:tr>
      <w:tr>
        <w:tc>
          <w:tcPr>
            <w:tcW w:type="dxa" w:w="720"/>
          </w:tcPr>
          <w:p>
            <w:r/>
            <w:r>
              <w:rPr>
                <w:sz w:val="18"/>
              </w:rPr>
              <w:t>F6</w:t>
            </w:r>
          </w:p>
        </w:tc>
        <w:tc>
          <w:tcPr>
            <w:tcW w:type="dxa" w:w="3312"/>
          </w:tcPr>
          <w:p>
            <w:r/>
            <w:r>
              <w:rPr>
                <w:sz w:val="18"/>
              </w:rPr>
              <w:t>DriverID -&gt; City</w:t>
            </w:r>
          </w:p>
        </w:tc>
        <w:tc>
          <w:tcPr>
            <w:tcW w:type="dxa" w:w="5472"/>
          </w:tcPr>
          <w:p>
            <w:r/>
            <w:r>
              <w:rPr>
                <w:sz w:val="18"/>
              </w:rPr>
              <w:t>In DELIVERY_DUTY, D-05 is Chennai in rows 1, 4 and 5, and D-09 is Mumbai in rows 2, 3 and 6.</w:t>
            </w:r>
          </w:p>
        </w:tc>
      </w:tr>
      <w:tr>
        <w:tc>
          <w:tcPr>
            <w:tcW w:type="dxa" w:w="720"/>
          </w:tcPr>
          <w:p>
            <w:r/>
            <w:r>
              <w:rPr>
                <w:sz w:val="18"/>
              </w:rPr>
              <w:t>F7</w:t>
            </w:r>
          </w:p>
        </w:tc>
        <w:tc>
          <w:tcPr>
            <w:tcW w:type="dxa" w:w="3312"/>
          </w:tcPr>
          <w:p>
            <w:r/>
            <w:r>
              <w:rPr>
                <w:sz w:val="18"/>
              </w:rPr>
              <w:t>{OrderID, City} -&gt; DriverID</w:t>
            </w:r>
          </w:p>
        </w:tc>
        <w:tc>
          <w:tcPr>
            <w:tcW w:type="dxa" w:w="5472"/>
          </w:tcPr>
          <w:p>
            <w:r/>
            <w:r>
              <w:rPr>
                <w:sz w:val="18"/>
              </w:rPr>
              <w:t>No two rows of DELIVERY_DUTY share both an OrderID and a City, so the pair fixes the driver.</w:t>
            </w:r>
          </w:p>
        </w:tc>
      </w:tr>
      <w:tr>
        <w:tc>
          <w:tcPr>
            <w:tcW w:type="dxa" w:w="720"/>
          </w:tcPr>
          <w:p>
            <w:r/>
            <w:r>
              <w:rPr>
                <w:sz w:val="18"/>
              </w:rPr>
              <w:t>F8</w:t>
            </w:r>
          </w:p>
        </w:tc>
        <w:tc>
          <w:tcPr>
            <w:tcW w:type="dxa" w:w="3312"/>
          </w:tcPr>
          <w:p>
            <w:r/>
            <w:r>
              <w:rPr>
                <w:sz w:val="18"/>
              </w:rPr>
              <w:t>Phone -&gt; SupplierID</w:t>
            </w:r>
          </w:p>
        </w:tc>
        <w:tc>
          <w:tcPr>
            <w:tcW w:type="dxa" w:w="5472"/>
          </w:tcPr>
          <w:p>
            <w:r/>
            <w:r>
              <w:rPr>
                <w:sz w:val="18"/>
              </w:rPr>
              <w:t>Every number in SUPPLIER_PHONE appears against one supplier only, so Phone is a second candidate key of that relation.</w:t>
            </w:r>
          </w:p>
        </w:tc>
      </w:tr>
    </w:tbl>
    <w:p>
      <w:pPr>
        <w:pStyle w:val="Heading2"/>
      </w:pPr>
      <w:r>
        <w:rPr>
          <w:color w:val="000000"/>
        </w:rPr>
        <w:t>7.2 Dependencies That Do Not Hold</w:t>
      </w:r>
    </w:p>
    <w:p>
      <w:r>
        <w:rPr>
          <w:b w:val="0"/>
          <w:i w:val="0"/>
          <w:sz w:val="22"/>
        </w:rPr>
        <w:t>Each of these is ruled out by two rows that agree on the left-hand side and disagree on the right. They are listed because they are the ones a reader might otherwise assume, and because ruling them out is what makes the candidate key in 7.3 the only one.</w:t>
      </w:r>
    </w:p>
    <w:tbl>
      <w:tblPr>
        <w:tblStyle w:val="TableGrid"/>
        <w:tblW w:type="auto" w:w="0"/>
        <w:tblLook w:firstColumn="1" w:firstRow="1" w:lastColumn="0" w:lastRow="0" w:noHBand="0" w:noVBand="1" w:val="04A0"/>
      </w:tblPr>
      <w:tblGrid>
        <w:gridCol w:w="3408"/>
        <w:gridCol w:w="3408"/>
        <w:gridCol w:w="3408"/>
      </w:tblGrid>
      <w:tr>
        <w:tc>
          <w:tcPr>
            <w:tcW w:type="dxa" w:w="720"/>
          </w:tcPr>
          <w:p>
            <w:r/>
            <w:r>
              <w:rPr>
                <w:b/>
                <w:sz w:val="18"/>
              </w:rPr>
              <w:t>Ref</w:t>
            </w:r>
          </w:p>
        </w:tc>
        <w:tc>
          <w:tcPr>
            <w:tcW w:type="dxa" w:w="3312"/>
          </w:tcPr>
          <w:p>
            <w:r/>
            <w:r>
              <w:rPr>
                <w:b/>
                <w:sz w:val="18"/>
              </w:rPr>
              <w:t>Rejected dependency</w:t>
            </w:r>
          </w:p>
        </w:tc>
        <w:tc>
          <w:tcPr>
            <w:tcW w:type="dxa" w:w="5472"/>
          </w:tcPr>
          <w:p>
            <w:r/>
            <w:r>
              <w:rPr>
                <w:b/>
                <w:sz w:val="18"/>
              </w:rPr>
              <w:t>Counterexample</w:t>
            </w:r>
          </w:p>
        </w:tc>
      </w:tr>
      <w:tr>
        <w:tc>
          <w:tcPr>
            <w:tcW w:type="dxa" w:w="720"/>
          </w:tcPr>
          <w:p>
            <w:r/>
            <w:r>
              <w:rPr>
                <w:sz w:val="18"/>
              </w:rPr>
              <w:t>N1</w:t>
            </w:r>
          </w:p>
        </w:tc>
        <w:tc>
          <w:tcPr>
            <w:tcW w:type="dxa" w:w="3312"/>
          </w:tcPr>
          <w:p>
            <w:r/>
            <w:r>
              <w:rPr>
                <w:sz w:val="18"/>
              </w:rPr>
              <w:t>ProductID -&gt; Qty</w:t>
            </w:r>
          </w:p>
        </w:tc>
        <w:tc>
          <w:tcPr>
            <w:tcW w:type="dxa" w:w="5472"/>
          </w:tcPr>
          <w:p>
            <w:r/>
            <w:r>
              <w:rPr>
                <w:sz w:val="18"/>
              </w:rPr>
              <w:t>Rows 1 and 4: P-100 is ordered 20 times on O-101 and 15 times on O-103.</w:t>
            </w:r>
          </w:p>
        </w:tc>
      </w:tr>
      <w:tr>
        <w:tc>
          <w:tcPr>
            <w:tcW w:type="dxa" w:w="720"/>
          </w:tcPr>
          <w:p>
            <w:r/>
            <w:r>
              <w:rPr>
                <w:sz w:val="18"/>
              </w:rPr>
              <w:t>N2</w:t>
            </w:r>
          </w:p>
        </w:tc>
        <w:tc>
          <w:tcPr>
            <w:tcW w:type="dxa" w:w="3312"/>
          </w:tcPr>
          <w:p>
            <w:r/>
            <w:r>
              <w:rPr>
                <w:sz w:val="18"/>
              </w:rPr>
              <w:t>OrderID -&gt; ProductID</w:t>
            </w:r>
          </w:p>
        </w:tc>
        <w:tc>
          <w:tcPr>
            <w:tcW w:type="dxa" w:w="5472"/>
          </w:tcPr>
          <w:p>
            <w:r/>
            <w:r>
              <w:rPr>
                <w:sz w:val="18"/>
              </w:rPr>
              <w:t>Rows 1 and 2: O-101 holds both P-100 and P-104.</w:t>
            </w:r>
          </w:p>
        </w:tc>
      </w:tr>
      <w:tr>
        <w:tc>
          <w:tcPr>
            <w:tcW w:type="dxa" w:w="720"/>
          </w:tcPr>
          <w:p>
            <w:r/>
            <w:r>
              <w:rPr>
                <w:sz w:val="18"/>
              </w:rPr>
              <w:t>N3</w:t>
            </w:r>
          </w:p>
        </w:tc>
        <w:tc>
          <w:tcPr>
            <w:tcW w:type="dxa" w:w="3312"/>
          </w:tcPr>
          <w:p>
            <w:r/>
            <w:r>
              <w:rPr>
                <w:sz w:val="18"/>
              </w:rPr>
              <w:t>City -&gt; CustID</w:t>
            </w:r>
          </w:p>
        </w:tc>
        <w:tc>
          <w:tcPr>
            <w:tcW w:type="dxa" w:w="5472"/>
          </w:tcPr>
          <w:p>
            <w:r/>
            <w:r>
              <w:rPr>
                <w:sz w:val="18"/>
              </w:rPr>
              <w:t>Rows 1 and 5: Chennai holds C-01 and also C-05.</w:t>
            </w:r>
          </w:p>
        </w:tc>
      </w:tr>
      <w:tr>
        <w:tc>
          <w:tcPr>
            <w:tcW w:type="dxa" w:w="720"/>
          </w:tcPr>
          <w:p>
            <w:r/>
            <w:r>
              <w:rPr>
                <w:sz w:val="18"/>
              </w:rPr>
              <w:t>N4</w:t>
            </w:r>
          </w:p>
        </w:tc>
        <w:tc>
          <w:tcPr>
            <w:tcW w:type="dxa" w:w="3312"/>
          </w:tcPr>
          <w:p>
            <w:r/>
            <w:r>
              <w:rPr>
                <w:sz w:val="18"/>
              </w:rPr>
              <w:t>Category -&gt; ProductID</w:t>
            </w:r>
          </w:p>
        </w:tc>
        <w:tc>
          <w:tcPr>
            <w:tcW w:type="dxa" w:w="5472"/>
          </w:tcPr>
          <w:p>
            <w:r/>
            <w:r>
              <w:rPr>
                <w:sz w:val="18"/>
              </w:rPr>
              <w:t>Rows 1 and 5: Staples covers P-100 and also P-108.</w:t>
            </w:r>
          </w:p>
        </w:tc>
      </w:tr>
      <w:tr>
        <w:tc>
          <w:tcPr>
            <w:tcW w:type="dxa" w:w="720"/>
          </w:tcPr>
          <w:p>
            <w:r/>
            <w:r>
              <w:rPr>
                <w:sz w:val="18"/>
              </w:rPr>
              <w:t>N5</w:t>
            </w:r>
          </w:p>
        </w:tc>
        <w:tc>
          <w:tcPr>
            <w:tcW w:type="dxa" w:w="3312"/>
          </w:tcPr>
          <w:p>
            <w:r/>
            <w:r>
              <w:rPr>
                <w:sz w:val="18"/>
              </w:rPr>
              <w:t>CName -&gt; OrderID</w:t>
            </w:r>
          </w:p>
        </w:tc>
        <w:tc>
          <w:tcPr>
            <w:tcW w:type="dxa" w:w="5472"/>
          </w:tcPr>
          <w:p>
            <w:r/>
            <w:r>
              <w:rPr>
                <w:sz w:val="18"/>
              </w:rPr>
              <w:t>Rows 1 and 4: Sharma Retail placed O-101 and also O-103.</w:t>
            </w:r>
          </w:p>
        </w:tc>
      </w:tr>
      <w:tr>
        <w:tc>
          <w:tcPr>
            <w:tcW w:type="dxa" w:w="720"/>
          </w:tcPr>
          <w:p>
            <w:r/>
            <w:r>
              <w:rPr>
                <w:sz w:val="18"/>
              </w:rPr>
              <w:t>N6</w:t>
            </w:r>
          </w:p>
        </w:tc>
        <w:tc>
          <w:tcPr>
            <w:tcW w:type="dxa" w:w="3312"/>
          </w:tcPr>
          <w:p>
            <w:r/>
            <w:r>
              <w:rPr>
                <w:sz w:val="18"/>
              </w:rPr>
              <w:t>City -&gt; DriverID</w:t>
            </w:r>
          </w:p>
        </w:tc>
        <w:tc>
          <w:tcPr>
            <w:tcW w:type="dxa" w:w="5472"/>
          </w:tcPr>
          <w:p>
            <w:r/>
            <w:r>
              <w:rPr>
                <w:sz w:val="18"/>
              </w:rPr>
              <w:t>DELIVERY_DUTY rows 1 and 7: Chennai is covered by D-05 and by D-11.</w:t>
            </w:r>
          </w:p>
        </w:tc>
      </w:tr>
      <w:tr>
        <w:tc>
          <w:tcPr>
            <w:tcW w:type="dxa" w:w="720"/>
          </w:tcPr>
          <w:p>
            <w:r/>
            <w:r>
              <w:rPr>
                <w:sz w:val="18"/>
              </w:rPr>
              <w:t>N7</w:t>
            </w:r>
          </w:p>
        </w:tc>
        <w:tc>
          <w:tcPr>
            <w:tcW w:type="dxa" w:w="3312"/>
          </w:tcPr>
          <w:p>
            <w:r/>
            <w:r>
              <w:rPr>
                <w:sz w:val="18"/>
              </w:rPr>
              <w:t>OrderID -&gt; DriverID</w:t>
            </w:r>
          </w:p>
        </w:tc>
        <w:tc>
          <w:tcPr>
            <w:tcW w:type="dxa" w:w="5472"/>
          </w:tcPr>
          <w:p>
            <w:r/>
            <w:r>
              <w:rPr>
                <w:sz w:val="18"/>
              </w:rPr>
              <w:t>DELIVERY_DUTY rows 1 and 2: O-101 is served by D-05 and by D-09.</w:t>
            </w:r>
          </w:p>
        </w:tc>
      </w:tr>
      <w:tr>
        <w:tc>
          <w:tcPr>
            <w:tcW w:type="dxa" w:w="720"/>
          </w:tcPr>
          <w:p>
            <w:r/>
            <w:r>
              <w:rPr>
                <w:sz w:val="18"/>
              </w:rPr>
              <w:t>N8</w:t>
            </w:r>
          </w:p>
        </w:tc>
        <w:tc>
          <w:tcPr>
            <w:tcW w:type="dxa" w:w="3312"/>
          </w:tcPr>
          <w:p>
            <w:r/>
            <w:r>
              <w:rPr>
                <w:sz w:val="18"/>
              </w:rPr>
              <w:t>SupplierID -&gt; Phone</w:t>
            </w:r>
          </w:p>
        </w:tc>
        <w:tc>
          <w:tcPr>
            <w:tcW w:type="dxa" w:w="5472"/>
          </w:tcPr>
          <w:p>
            <w:r/>
            <w:r>
              <w:rPr>
                <w:sz w:val="18"/>
              </w:rPr>
              <w:t>SUPPLIER_PHONE rows 1 and 2: S-01 has two numbers.</w:t>
            </w:r>
          </w:p>
        </w:tc>
      </w:tr>
    </w:tbl>
    <w:p>
      <w:pPr>
        <w:pStyle w:val="Heading2"/>
      </w:pPr>
      <w:r>
        <w:rPr>
          <w:color w:val="000000"/>
        </w:rPr>
        <w:t>7.3 Candidate Keys</w:t>
      </w:r>
    </w:p>
    <w:p>
      <w:r>
        <w:rPr>
          <w:b w:val="0"/>
          <w:i w:val="0"/>
          <w:sz w:val="22"/>
        </w:rPr>
        <w:t>A candidate key is a set of columns whose closure is the whole relation. For ORDER_LINE, start with {OrderID, ProductID}:</w:t>
      </w:r>
    </w:p>
    <w:p>
      <w:pPr>
        <w:pStyle w:val="ListBullet"/>
      </w:pPr>
      <w:r>
        <w:rPr>
          <w:sz w:val="21"/>
        </w:rPr>
        <w:t>F1 adds OrderDate, Status and CustID.</w:t>
      </w:r>
    </w:p>
    <w:p>
      <w:pPr>
        <w:pStyle w:val="ListBullet"/>
      </w:pPr>
      <w:r>
        <w:rPr>
          <w:sz w:val="21"/>
        </w:rPr>
        <w:t>F2 then adds CName, Street and City.</w:t>
      </w:r>
    </w:p>
    <w:p>
      <w:pPr>
        <w:pStyle w:val="ListBullet"/>
      </w:pPr>
      <w:r>
        <w:rPr>
          <w:sz w:val="21"/>
        </w:rPr>
        <w:t>F3 then adds State.</w:t>
      </w:r>
    </w:p>
    <w:p>
      <w:pPr>
        <w:pStyle w:val="ListBullet"/>
      </w:pPr>
      <w:r>
        <w:rPr>
          <w:sz w:val="21"/>
        </w:rPr>
        <w:t>F4 adds PName, Category and Price.</w:t>
      </w:r>
    </w:p>
    <w:p>
      <w:pPr>
        <w:pStyle w:val="ListBullet"/>
      </w:pPr>
      <w:r>
        <w:rPr>
          <w:sz w:val="21"/>
        </w:rPr>
        <w:t>F5 adds Qty.</w:t>
      </w:r>
    </w:p>
    <w:p>
      <w:r>
        <w:rPr>
          <w:b w:val="0"/>
          <w:i w:val="0"/>
          <w:sz w:val="22"/>
        </w:rPr>
        <w:t>The closure is now all thirteen columns, so {OrderID, ProductID} is a key. Neither half works alone: OrderID cannot fix ProductID (N2) and ProductID cannot fix Qty (N1), so nothing smaller is a key and this is the only candidate key of ORDER_LINE.</w:t>
      </w:r>
    </w:p>
    <w:p>
      <w:r>
        <w:rPr>
          <w:b w:val="0"/>
          <w:i w:val="0"/>
          <w:sz w:val="22"/>
        </w:rPr>
        <w:t>DELIVERY_DUTY has two candidate keys. {OrderID, City} determines DriverID by F7, and {OrderID, DriverID} determines City by F6, so both close over the whole relation. That second key is what lets DELIVERY_DUTY pass 3NF while still failing BCNF in section 8.5. SUPPLIER_PHONE also has two: the pair {SupplierID, Phone}, and Phone on its own by F8.</w:t>
      </w:r>
    </w:p>
    <w:p>
      <w:pPr>
        <w:pStyle w:val="Heading1"/>
      </w:pPr>
      <w:r>
        <w:rPr>
          <w:color w:val="000000"/>
        </w:rPr>
        <w:t>8. Normalization</w:t>
      </w:r>
    </w:p>
    <w:p>
      <w:r>
        <w:rPr>
          <w:b w:val="0"/>
          <w:i w:val="0"/>
          <w:sz w:val="22"/>
        </w:rPr>
        <w:t>Normalization starts from one badly designed table and splits it, one rule at a time, until no table can store the same fact twice. Each step below names the dependency from section 7 that forces the split, and the figure beside it shows the tables that result, with the sample rows carried through so the effect of the split can be read off directly.</w:t>
      </w:r>
    </w:p>
    <w:p>
      <w:pPr>
        <w:pStyle w:val="Heading2"/>
      </w:pPr>
      <w:r>
        <w:rPr>
          <w:color w:val="000000"/>
        </w:rPr>
        <w:t>8.1  Where we start, Unnormalized Form (UNF)</w:t>
      </w:r>
    </w:p>
    <w:p>
      <w:r>
        <w:rPr>
          <w:b w:val="0"/>
          <w:i w:val="0"/>
          <w:sz w:val="22"/>
        </w:rPr>
        <w:t>Everything sits in one wide table, the way a clerk would keep it in a spreadsheet. One cell holds several phone numbers, another holds a whole group of product lines, and a third holds the drivers the order went out with. Because the customer's details are copied onto every order row, the same fact is written down many times, and that is what causes the insert, delete and update problems described in section 1.1.</w:t>
      </w:r>
    </w:p>
    <w:p>
      <w:r>
        <w:rPr>
          <w:b w:val="0"/>
          <w:i/>
          <w:sz w:val="21"/>
        </w:rPr>
        <w:t>Repeating groups: SupplierPhones, Items and Delivery. Because those cells are not atomic there is no key yet, so no dependency can even be stated.</w:t>
      </w:r>
    </w:p>
    <w:p>
      <w:pPr>
        <w:jc w:val="center"/>
      </w:pPr>
      <w:r>
        <w:drawing>
          <wp:inline xmlns:a="http://schemas.openxmlformats.org/drawingml/2006/main" xmlns:pic="http://schemas.openxmlformats.org/drawingml/2006/picture">
            <wp:extent cx="6400800" cy="1757454"/>
            <wp:docPr id="5" name="Picture 5"/>
            <wp:cNvGraphicFramePr>
              <a:graphicFrameLocks noChangeAspect="1"/>
            </wp:cNvGraphicFramePr>
            <a:graphic>
              <a:graphicData uri="http://schemas.openxmlformats.org/drawingml/2006/picture">
                <pic:pic>
                  <pic:nvPicPr>
                    <pic:cNvPr id="0" name="norm_unf.png"/>
                    <pic:cNvPicPr/>
                  </pic:nvPicPr>
                  <pic:blipFill>
                    <a:blip r:embed="rId13"/>
                    <a:stretch>
                      <a:fillRect/>
                    </a:stretch>
                  </pic:blipFill>
                  <pic:spPr>
                    <a:xfrm>
                      <a:off x="0" y="0"/>
                      <a:ext cx="6400800" cy="1757454"/>
                    </a:xfrm>
                    <a:prstGeom prst="rect"/>
                  </pic:spPr>
                </pic:pic>
              </a:graphicData>
            </a:graphic>
          </wp:inline>
        </w:drawing>
      </w:r>
    </w:p>
    <w:p>
      <w:pPr>
        <w:jc w:val="center"/>
      </w:pPr>
      <w:r>
        <w:rPr>
          <w:b w:val="0"/>
          <w:i/>
          <w:sz w:val="18"/>
        </w:rPr>
        <w:t>Figure 5. Where we start, Unnormalized Form (UNF)</w:t>
      </w:r>
    </w:p>
    <w:p>
      <w:pPr>
        <w:pStyle w:val="Heading2"/>
      </w:pPr>
      <w:r>
        <w:rPr>
          <w:color w:val="000000"/>
        </w:rPr>
        <w:t>8.2  First Normal Form (1NF)</w:t>
      </w:r>
    </w:p>
    <w:p>
      <w:r>
        <w:rPr>
          <w:b w:val="0"/>
          <w:i w:val="0"/>
          <w:sz w:val="22"/>
        </w:rPr>
        <w:t>1NF asks for two things: every cell must hold exactly one value, and a repeating group must move into its own table. The product lines become ORDER_ITEM, the phone numbers become SUPPLIER_PHONE, and the delivery pairs become DELIVERY_DUTY. ORDER_ITEM needs OrderID and ProductID together as its key, because neither column alone identifies a row (N1 and N2). DELIVERY_DUTY is keyed by OrderID and City, from F7.</w:t>
      </w:r>
    </w:p>
    <w:p>
      <w:r>
        <w:rPr>
          <w:b w:val="0"/>
          <w:i/>
          <w:sz w:val="21"/>
        </w:rPr>
        <w:t>Still wrong: PName and Category repeat on every order line that mentions the same product, which is F4 sitting inside a table whose key is {OrderID, ProductID}.</w:t>
      </w:r>
    </w:p>
    <w:p>
      <w:pPr>
        <w:jc w:val="center"/>
      </w:pPr>
      <w:r>
        <w:drawing>
          <wp:inline xmlns:a="http://schemas.openxmlformats.org/drawingml/2006/main" xmlns:pic="http://schemas.openxmlformats.org/drawingml/2006/picture">
            <wp:extent cx="6400800" cy="2902762"/>
            <wp:docPr id="6" name="Picture 6"/>
            <wp:cNvGraphicFramePr>
              <a:graphicFrameLocks noChangeAspect="1"/>
            </wp:cNvGraphicFramePr>
            <a:graphic>
              <a:graphicData uri="http://schemas.openxmlformats.org/drawingml/2006/picture">
                <pic:pic>
                  <pic:nvPicPr>
                    <pic:cNvPr id="0" name="norm_1nf.png"/>
                    <pic:cNvPicPr/>
                  </pic:nvPicPr>
                  <pic:blipFill>
                    <a:blip r:embed="rId14"/>
                    <a:stretch>
                      <a:fillRect/>
                    </a:stretch>
                  </pic:blipFill>
                  <pic:spPr>
                    <a:xfrm>
                      <a:off x="0" y="0"/>
                      <a:ext cx="6400800" cy="2902762"/>
                    </a:xfrm>
                    <a:prstGeom prst="rect"/>
                  </pic:spPr>
                </pic:pic>
              </a:graphicData>
            </a:graphic>
          </wp:inline>
        </w:drawing>
      </w:r>
    </w:p>
    <w:p>
      <w:pPr>
        <w:jc w:val="center"/>
      </w:pPr>
      <w:r>
        <w:rPr>
          <w:b w:val="0"/>
          <w:i/>
          <w:sz w:val="18"/>
        </w:rPr>
        <w:t>Figure 6. First Normal Form (1NF)</w:t>
      </w:r>
    </w:p>
    <w:p>
      <w:pPr>
        <w:pStyle w:val="Heading2"/>
      </w:pPr>
      <w:r>
        <w:rPr>
          <w:color w:val="000000"/>
        </w:rPr>
        <w:t>8.3  Second Normal Form (2NF)</w:t>
      </w:r>
    </w:p>
    <w:p>
      <w:r>
        <w:rPr>
          <w:b w:val="0"/>
          <w:i w:val="0"/>
          <w:sz w:val="22"/>
        </w:rPr>
        <w:t>2NF removes partial dependency, which means a column must depend on the whole key and not on part of it. ORDER_ITEM is keyed by {OrderID, ProductID}, but F4 says PName, Category and Price are fixed by ProductID alone. They describe the product and not the order, so they move to a new PRODUCT table where Price becomes UnitPrice. Only Qty depends on the whole key (F5), so only Qty stays. The other three tables have no partial dependency and are left alone.</w:t>
      </w:r>
    </w:p>
    <w:p>
      <w:r>
        <w:rPr>
          <w:b w:val="0"/>
          <w:i/>
          <w:sz w:val="21"/>
        </w:rPr>
        <w:t>Still wrong: in ORDER_MASTER the customer's name is reached through CustID (F2) and the state is reached through the city (F3). Neither route starts at the key.</w:t>
      </w:r>
    </w:p>
    <w:p>
      <w:pPr>
        <w:jc w:val="center"/>
      </w:pPr>
      <w:r>
        <w:drawing>
          <wp:inline xmlns:a="http://schemas.openxmlformats.org/drawingml/2006/main" xmlns:pic="http://schemas.openxmlformats.org/drawingml/2006/picture">
            <wp:extent cx="6400800" cy="2902762"/>
            <wp:docPr id="7" name="Picture 7"/>
            <wp:cNvGraphicFramePr>
              <a:graphicFrameLocks noChangeAspect="1"/>
            </wp:cNvGraphicFramePr>
            <a:graphic>
              <a:graphicData uri="http://schemas.openxmlformats.org/drawingml/2006/picture">
                <pic:pic>
                  <pic:nvPicPr>
                    <pic:cNvPr id="0" name="norm_2nf.png"/>
                    <pic:cNvPicPr/>
                  </pic:nvPicPr>
                  <pic:blipFill>
                    <a:blip r:embed="rId15"/>
                    <a:stretch>
                      <a:fillRect/>
                    </a:stretch>
                  </pic:blipFill>
                  <pic:spPr>
                    <a:xfrm>
                      <a:off x="0" y="0"/>
                      <a:ext cx="6400800" cy="2902762"/>
                    </a:xfrm>
                    <a:prstGeom prst="rect"/>
                  </pic:spPr>
                </pic:pic>
              </a:graphicData>
            </a:graphic>
          </wp:inline>
        </w:drawing>
      </w:r>
    </w:p>
    <w:p>
      <w:pPr>
        <w:jc w:val="center"/>
      </w:pPr>
      <w:r>
        <w:rPr>
          <w:b w:val="0"/>
          <w:i/>
          <w:sz w:val="18"/>
        </w:rPr>
        <w:t>Figure 7. Second Normal Form (2NF)</w:t>
      </w:r>
    </w:p>
    <w:p>
      <w:pPr>
        <w:pStyle w:val="Heading2"/>
      </w:pPr>
      <w:r>
        <w:rPr>
          <w:color w:val="000000"/>
        </w:rPr>
        <w:t>8.4  Third Normal Form (3NF)</w:t>
      </w:r>
    </w:p>
    <w:p>
      <w:r>
        <w:rPr>
          <w:b w:val="0"/>
          <w:i w:val="0"/>
          <w:sz w:val="22"/>
        </w:rPr>
        <w:t>3NF removes transitive dependency, which means one ordinary column must not decide another. ORDER_MASTER is keyed by OrderID, yet F2 and F3 both start from a non-key column, so each determinant is pulled out into a table of its own: CUSTOMER keyed by CustID and CITY keyed by City. What is left of ORDER_MASTER becomes ORDERS, holding only what OrderID decides directly, plus CustID as a foreign key.</w:t>
      </w:r>
    </w:p>
    <w:p>
      <w:r>
        <w:rPr>
          <w:b w:val="0"/>
          <w:i/>
          <w:sz w:val="21"/>
        </w:rPr>
        <w:t>One table still hides a problem. DELIVERY_DUTY satisfies 3NF, because every column in it belongs to some candidate key, and 3NF excuses a non-key determinant on exactly that ground.</w:t>
      </w:r>
    </w:p>
    <w:p>
      <w:pPr>
        <w:jc w:val="center"/>
      </w:pPr>
      <w:r>
        <w:drawing>
          <wp:inline xmlns:a="http://schemas.openxmlformats.org/drawingml/2006/main" xmlns:pic="http://schemas.openxmlformats.org/drawingml/2006/picture">
            <wp:extent cx="6400800" cy="2819585"/>
            <wp:docPr id="8" name="Picture 8"/>
            <wp:cNvGraphicFramePr>
              <a:graphicFrameLocks noChangeAspect="1"/>
            </wp:cNvGraphicFramePr>
            <a:graphic>
              <a:graphicData uri="http://schemas.openxmlformats.org/drawingml/2006/picture">
                <pic:pic>
                  <pic:nvPicPr>
                    <pic:cNvPr id="0" name="norm_3nf.png"/>
                    <pic:cNvPicPr/>
                  </pic:nvPicPr>
                  <pic:blipFill>
                    <a:blip r:embed="rId16"/>
                    <a:stretch>
                      <a:fillRect/>
                    </a:stretch>
                  </pic:blipFill>
                  <pic:spPr>
                    <a:xfrm>
                      <a:off x="0" y="0"/>
                      <a:ext cx="6400800" cy="2819585"/>
                    </a:xfrm>
                    <a:prstGeom prst="rect"/>
                  </pic:spPr>
                </pic:pic>
              </a:graphicData>
            </a:graphic>
          </wp:inline>
        </w:drawing>
      </w:r>
    </w:p>
    <w:p>
      <w:pPr>
        <w:jc w:val="center"/>
      </w:pPr>
      <w:r>
        <w:rPr>
          <w:b w:val="0"/>
          <w:i/>
          <w:sz w:val="18"/>
        </w:rPr>
        <w:t>Figure 8. Third Normal Form (3NF)</w:t>
      </w:r>
    </w:p>
    <w:p>
      <w:pPr>
        <w:pStyle w:val="Heading2"/>
      </w:pPr>
      <w:r>
        <w:rPr>
          <w:color w:val="000000"/>
        </w:rPr>
        <w:t>8.5  Boyce-Codd Normal Form (BCNF)</w:t>
      </w:r>
    </w:p>
    <w:p>
      <w:r>
        <w:rPr>
          <w:b w:val="0"/>
          <w:i w:val="0"/>
          <w:sz w:val="22"/>
        </w:rPr>
        <w:t>BCNF applies one strict rule: the left-hand side of every dependency must be a key. DELIVERY_DUTY has two candidate keys, {OrderID, City} and {OrderID, DriverID}, so F7 is fine. F6 is not, because DriverID decides City while not being a key on its own. That is why 'D-09 covers Mumbai' is stored on three separate rows of the sample data and why two of those rows can be made to disagree. Splitting on F6 gives DRIVER_CITY, keyed by DriverID, and ORDER_DRIVER. Joining the two back on DriverID returns the original seven rows exactly, so the split loses nothing.</w:t>
      </w:r>
    </w:p>
    <w:p>
      <w:r>
        <w:rPr>
          <w:b w:val="0"/>
          <w:i/>
          <w:sz w:val="21"/>
        </w:rPr>
        <w:t>Every table is now in BCNF, which also means every table is in 1NF, 2NF and 3NF.</w:t>
      </w:r>
    </w:p>
    <w:p>
      <w:pPr>
        <w:jc w:val="center"/>
      </w:pPr>
      <w:r>
        <w:drawing>
          <wp:inline xmlns:a="http://schemas.openxmlformats.org/drawingml/2006/main" xmlns:pic="http://schemas.openxmlformats.org/drawingml/2006/picture">
            <wp:extent cx="6400800" cy="2841171"/>
            <wp:docPr id="9" name="Picture 9"/>
            <wp:cNvGraphicFramePr>
              <a:graphicFrameLocks noChangeAspect="1"/>
            </wp:cNvGraphicFramePr>
            <a:graphic>
              <a:graphicData uri="http://schemas.openxmlformats.org/drawingml/2006/picture">
                <pic:pic>
                  <pic:nvPicPr>
                    <pic:cNvPr id="0" name="norm_bcnf.png"/>
                    <pic:cNvPicPr/>
                  </pic:nvPicPr>
                  <pic:blipFill>
                    <a:blip r:embed="rId17"/>
                    <a:stretch>
                      <a:fillRect/>
                    </a:stretch>
                  </pic:blipFill>
                  <pic:spPr>
                    <a:xfrm>
                      <a:off x="0" y="0"/>
                      <a:ext cx="6400800" cy="2841171"/>
                    </a:xfrm>
                    <a:prstGeom prst="rect"/>
                  </pic:spPr>
                </pic:pic>
              </a:graphicData>
            </a:graphic>
          </wp:inline>
        </w:drawing>
      </w:r>
    </w:p>
    <w:p>
      <w:pPr>
        <w:jc w:val="center"/>
      </w:pPr>
      <w:r>
        <w:rPr>
          <w:b w:val="0"/>
          <w:i/>
          <w:sz w:val="18"/>
        </w:rPr>
        <w:t>Figure 9. Boyce-Codd Normal Form (BCNF)</w:t>
      </w:r>
    </w:p>
    <w:p>
      <w:pPr>
        <w:pStyle w:val="Heading1"/>
      </w:pPr>
      <w:r>
        <w:rPr>
          <w:color w:val="000000"/>
        </w:rPr>
        <w:t>9. The Decomposition, End to End</w:t>
      </w:r>
    </w:p>
    <w:p>
      <w:r>
        <w:rPr>
          <w:b w:val="0"/>
          <w:i w:val="0"/>
          <w:sz w:val="22"/>
        </w:rPr>
        <w:t>Figure 10 puts the five stages side by side and follows every relation through them, with all of its columns and its key at each stage. Reading left to right, one relation becomes four at 1NF, ORDER_ITEM sheds a PRODUCT table at 2NF, ORDER_MASTER becomes three tables at 3NF, and DELIVERY_DUTY becomes two at BCNF. A relation drawn in a bold box was created or changed at that stage, and a thin box is carried forward untouched.</w:t>
      </w:r>
    </w:p>
    <w:p>
      <w:pPr>
        <w:jc w:val="center"/>
      </w:pPr>
      <w:r>
        <w:drawing>
          <wp:inline xmlns:a="http://schemas.openxmlformats.org/drawingml/2006/main" xmlns:pic="http://schemas.openxmlformats.org/drawingml/2006/picture">
            <wp:extent cx="6400800" cy="3928105"/>
            <wp:docPr id="10" name="Picture 10"/>
            <wp:cNvGraphicFramePr>
              <a:graphicFrameLocks noChangeAspect="1"/>
            </wp:cNvGraphicFramePr>
            <a:graphic>
              <a:graphicData uri="http://schemas.openxmlformats.org/drawingml/2006/picture">
                <pic:pic>
                  <pic:nvPicPr>
                    <pic:cNvPr id="0" name="decomp_tree.png"/>
                    <pic:cNvPicPr/>
                  </pic:nvPicPr>
                  <pic:blipFill>
                    <a:blip r:embed="rId18"/>
                    <a:stretch>
                      <a:fillRect/>
                    </a:stretch>
                  </pic:blipFill>
                  <pic:spPr>
                    <a:xfrm>
                      <a:off x="0" y="0"/>
                      <a:ext cx="6400800" cy="3928105"/>
                    </a:xfrm>
                    <a:prstGeom prst="rect"/>
                  </pic:spPr>
                </pic:pic>
              </a:graphicData>
            </a:graphic>
          </wp:inline>
        </w:drawing>
      </w:r>
    </w:p>
    <w:p>
      <w:pPr>
        <w:jc w:val="center"/>
      </w:pPr>
      <w:r>
        <w:rPr>
          <w:b w:val="0"/>
          <w:i/>
          <w:sz w:val="18"/>
        </w:rPr>
        <w:t>Figure 10. Decomposition from UNF to BCNF, showing every column at every stage</w:t>
      </w:r>
    </w:p>
    <w:p>
      <w:r>
        <w:rPr>
          <w:b w:val="0"/>
          <w:i w:val="0"/>
          <w:sz w:val="22"/>
        </w:rPr>
        <w:t>Eight relations come out of this decomposition. The remaining thirteen tables of the final design (SUPPLIER, SUPPLIES, INSPECTION, PERISHABLE_PRODUCT, HAZARDOUS_PRODUCT, WAREHOUSE, EMPLOYEE, MANAGER, DRIVER, STOCK, GOODS_MOVEMENT, SHIPMENT and GOODS_RETURN) come straight from the EER mapping in section 6, and each of them was already in BCNF. Eight plus thirteen is the twenty-one tables of section 10.</w:t>
      </w:r>
    </w:p>
    <w:p>
      <w:pPr>
        <w:pStyle w:val="Heading1"/>
      </w:pPr>
      <w:r>
        <w:rPr>
          <w:color w:val="000000"/>
        </w:rPr>
        <w:t>10. Final Schema</w:t>
      </w:r>
    </w:p>
    <w:p>
      <w:r>
        <w:rPr>
          <w:b w:val="0"/>
          <w:i w:val="0"/>
          <w:sz w:val="22"/>
        </w:rPr>
        <w:t>The finished design has 21 tables and every one of them is in BCNF, which also means every one is in 1NF, 2NF and 3NF. In Figure 11 the tables are grouped under three headings, master data and supply, warehouse and staff, and orders and movements. A column name is underlined where it forms part of the primary key and italicised where it is a foreign key, so a column that is both is underlined and italic.</w:t>
      </w:r>
    </w:p>
    <w:p>
      <w:pPr>
        <w:jc w:val="center"/>
      </w:pPr>
      <w:r>
        <w:drawing>
          <wp:inline xmlns:a="http://schemas.openxmlformats.org/drawingml/2006/main" xmlns:pic="http://schemas.openxmlformats.org/drawingml/2006/picture">
            <wp:extent cx="6400800" cy="3211280"/>
            <wp:docPr id="11" name="Picture 11"/>
            <wp:cNvGraphicFramePr>
              <a:graphicFrameLocks noChangeAspect="1"/>
            </wp:cNvGraphicFramePr>
            <a:graphic>
              <a:graphicData uri="http://schemas.openxmlformats.org/drawingml/2006/picture">
                <pic:pic>
                  <pic:nvPicPr>
                    <pic:cNvPr id="0" name="final_schema.png"/>
                    <pic:cNvPicPr/>
                  </pic:nvPicPr>
                  <pic:blipFill>
                    <a:blip r:embed="rId19"/>
                    <a:stretch>
                      <a:fillRect/>
                    </a:stretch>
                  </pic:blipFill>
                  <pic:spPr>
                    <a:xfrm>
                      <a:off x="0" y="0"/>
                      <a:ext cx="6400800" cy="3211280"/>
                    </a:xfrm>
                    <a:prstGeom prst="rect"/>
                  </pic:spPr>
                </pic:pic>
              </a:graphicData>
            </a:graphic>
          </wp:inline>
        </w:drawing>
      </w:r>
    </w:p>
    <w:p>
      <w:pPr>
        <w:jc w:val="center"/>
      </w:pPr>
      <w:r>
        <w:rPr>
          <w:b w:val="0"/>
          <w:i/>
          <w:sz w:val="18"/>
        </w:rPr>
        <w:t>Figure 11. Final relational schema, 21 tables in BCNF</w:t>
      </w:r>
    </w:p>
    <w:p>
      <w:pPr>
        <w:pStyle w:val="Heading2"/>
      </w:pPr>
      <w:r>
        <w:rPr>
          <w:color w:val="000000"/>
        </w:rPr>
        <w:t>10.1 Keys of Every Table</w:t>
      </w:r>
    </w:p>
    <w:tbl>
      <w:tblPr>
        <w:tblStyle w:val="TableGrid"/>
        <w:tblW w:type="auto" w:w="0"/>
        <w:tblLook w:firstColumn="1" w:firstRow="1" w:lastColumn="0" w:lastRow="0" w:noHBand="0" w:noVBand="1" w:val="04A0"/>
      </w:tblPr>
      <w:tblGrid>
        <w:gridCol w:w="3408"/>
        <w:gridCol w:w="3408"/>
        <w:gridCol w:w="3408"/>
      </w:tblGrid>
      <w:tr>
        <w:tc>
          <w:tcPr>
            <w:tcW w:type="dxa" w:w="3024"/>
          </w:tcPr>
          <w:p>
            <w:r/>
            <w:r>
              <w:rPr>
                <w:b/>
                <w:sz w:val="19"/>
              </w:rPr>
              <w:t>Table</w:t>
            </w:r>
          </w:p>
        </w:tc>
        <w:tc>
          <w:tcPr>
            <w:tcW w:type="dxa" w:w="3168"/>
          </w:tcPr>
          <w:p>
            <w:r/>
            <w:r>
              <w:rPr>
                <w:b/>
                <w:sz w:val="19"/>
              </w:rPr>
              <w:t>Primary key</w:t>
            </w:r>
          </w:p>
        </w:tc>
        <w:tc>
          <w:tcPr>
            <w:tcW w:type="dxa" w:w="3744"/>
          </w:tcPr>
          <w:p>
            <w:r/>
            <w:r>
              <w:rPr>
                <w:b/>
                <w:sz w:val="19"/>
              </w:rPr>
              <w:t>Foreign keys</w:t>
            </w:r>
          </w:p>
        </w:tc>
      </w:tr>
      <w:tr>
        <w:tc>
          <w:tcPr>
            <w:tcW w:type="dxa" w:w="3024"/>
          </w:tcPr>
          <w:p>
            <w:r/>
            <w:r>
              <w:rPr>
                <w:sz w:val="19"/>
              </w:rPr>
              <w:t>CITY</w:t>
            </w:r>
          </w:p>
        </w:tc>
        <w:tc>
          <w:tcPr>
            <w:tcW w:type="dxa" w:w="3168"/>
          </w:tcPr>
          <w:p>
            <w:r/>
            <w:r>
              <w:rPr>
                <w:sz w:val="19"/>
              </w:rPr>
              <w:t>City</w:t>
            </w:r>
          </w:p>
        </w:tc>
        <w:tc>
          <w:tcPr>
            <w:tcW w:type="dxa" w:w="3744"/>
          </w:tcPr>
          <w:p>
            <w:r/>
            <w:r>
              <w:rPr>
                <w:sz w:val="19"/>
              </w:rPr>
              <w:t>none</w:t>
            </w:r>
          </w:p>
        </w:tc>
      </w:tr>
      <w:tr>
        <w:tc>
          <w:tcPr>
            <w:tcW w:type="dxa" w:w="3024"/>
          </w:tcPr>
          <w:p>
            <w:r/>
            <w:r>
              <w:rPr>
                <w:sz w:val="19"/>
              </w:rPr>
              <w:t>SUPPLIER</w:t>
            </w:r>
          </w:p>
        </w:tc>
        <w:tc>
          <w:tcPr>
            <w:tcW w:type="dxa" w:w="3168"/>
          </w:tcPr>
          <w:p>
            <w:r/>
            <w:r>
              <w:rPr>
                <w:sz w:val="19"/>
              </w:rPr>
              <w:t>SupplierID</w:t>
            </w:r>
          </w:p>
        </w:tc>
        <w:tc>
          <w:tcPr>
            <w:tcW w:type="dxa" w:w="3744"/>
          </w:tcPr>
          <w:p>
            <w:r/>
            <w:r>
              <w:rPr>
                <w:sz w:val="19"/>
              </w:rPr>
              <w:t>City</w:t>
            </w:r>
          </w:p>
        </w:tc>
      </w:tr>
      <w:tr>
        <w:tc>
          <w:tcPr>
            <w:tcW w:type="dxa" w:w="3024"/>
          </w:tcPr>
          <w:p>
            <w:r/>
            <w:r>
              <w:rPr>
                <w:sz w:val="19"/>
              </w:rPr>
              <w:t>SUPPLIER_PHONE</w:t>
            </w:r>
          </w:p>
        </w:tc>
        <w:tc>
          <w:tcPr>
            <w:tcW w:type="dxa" w:w="3168"/>
          </w:tcPr>
          <w:p>
            <w:r/>
            <w:r>
              <w:rPr>
                <w:sz w:val="19"/>
              </w:rPr>
              <w:t>SupplierID + Phone</w:t>
            </w:r>
          </w:p>
        </w:tc>
        <w:tc>
          <w:tcPr>
            <w:tcW w:type="dxa" w:w="3744"/>
          </w:tcPr>
          <w:p>
            <w:r/>
            <w:r>
              <w:rPr>
                <w:sz w:val="19"/>
              </w:rPr>
              <w:t>SupplierID</w:t>
            </w:r>
          </w:p>
        </w:tc>
      </w:tr>
      <w:tr>
        <w:tc>
          <w:tcPr>
            <w:tcW w:type="dxa" w:w="3024"/>
          </w:tcPr>
          <w:p>
            <w:r/>
            <w:r>
              <w:rPr>
                <w:sz w:val="19"/>
              </w:rPr>
              <w:t>PRODUCT</w:t>
            </w:r>
          </w:p>
        </w:tc>
        <w:tc>
          <w:tcPr>
            <w:tcW w:type="dxa" w:w="3168"/>
          </w:tcPr>
          <w:p>
            <w:r/>
            <w:r>
              <w:rPr>
                <w:sz w:val="19"/>
              </w:rPr>
              <w:t>ProductID</w:t>
            </w:r>
          </w:p>
        </w:tc>
        <w:tc>
          <w:tcPr>
            <w:tcW w:type="dxa" w:w="3744"/>
          </w:tcPr>
          <w:p>
            <w:r/>
            <w:r>
              <w:rPr>
                <w:sz w:val="19"/>
              </w:rPr>
              <w:t>none</w:t>
            </w:r>
          </w:p>
        </w:tc>
      </w:tr>
      <w:tr>
        <w:tc>
          <w:tcPr>
            <w:tcW w:type="dxa" w:w="3024"/>
          </w:tcPr>
          <w:p>
            <w:r/>
            <w:r>
              <w:rPr>
                <w:sz w:val="19"/>
              </w:rPr>
              <w:t>PERISHABLE_PRODUCT</w:t>
            </w:r>
          </w:p>
        </w:tc>
        <w:tc>
          <w:tcPr>
            <w:tcW w:type="dxa" w:w="3168"/>
          </w:tcPr>
          <w:p>
            <w:r/>
            <w:r>
              <w:rPr>
                <w:sz w:val="19"/>
              </w:rPr>
              <w:t>ProductID</w:t>
            </w:r>
          </w:p>
        </w:tc>
        <w:tc>
          <w:tcPr>
            <w:tcW w:type="dxa" w:w="3744"/>
          </w:tcPr>
          <w:p>
            <w:r/>
            <w:r>
              <w:rPr>
                <w:sz w:val="19"/>
              </w:rPr>
              <w:t>ProductID</w:t>
            </w:r>
          </w:p>
        </w:tc>
      </w:tr>
      <w:tr>
        <w:tc>
          <w:tcPr>
            <w:tcW w:type="dxa" w:w="3024"/>
          </w:tcPr>
          <w:p>
            <w:r/>
            <w:r>
              <w:rPr>
                <w:sz w:val="19"/>
              </w:rPr>
              <w:t>HAZARDOUS_PRODUCT</w:t>
            </w:r>
          </w:p>
        </w:tc>
        <w:tc>
          <w:tcPr>
            <w:tcW w:type="dxa" w:w="3168"/>
          </w:tcPr>
          <w:p>
            <w:r/>
            <w:r>
              <w:rPr>
                <w:sz w:val="19"/>
              </w:rPr>
              <w:t>ProductID</w:t>
            </w:r>
          </w:p>
        </w:tc>
        <w:tc>
          <w:tcPr>
            <w:tcW w:type="dxa" w:w="3744"/>
          </w:tcPr>
          <w:p>
            <w:r/>
            <w:r>
              <w:rPr>
                <w:sz w:val="19"/>
              </w:rPr>
              <w:t>ProductID</w:t>
            </w:r>
          </w:p>
        </w:tc>
      </w:tr>
      <w:tr>
        <w:tc>
          <w:tcPr>
            <w:tcW w:type="dxa" w:w="3024"/>
          </w:tcPr>
          <w:p>
            <w:r/>
            <w:r>
              <w:rPr>
                <w:sz w:val="19"/>
              </w:rPr>
              <w:t>SUPPLIES</w:t>
            </w:r>
          </w:p>
        </w:tc>
        <w:tc>
          <w:tcPr>
            <w:tcW w:type="dxa" w:w="3168"/>
          </w:tcPr>
          <w:p>
            <w:r/>
            <w:r>
              <w:rPr>
                <w:sz w:val="19"/>
              </w:rPr>
              <w:t>SupplierID + ProductID</w:t>
            </w:r>
          </w:p>
        </w:tc>
        <w:tc>
          <w:tcPr>
            <w:tcW w:type="dxa" w:w="3744"/>
          </w:tcPr>
          <w:p>
            <w:r/>
            <w:r>
              <w:rPr>
                <w:sz w:val="19"/>
              </w:rPr>
              <w:t>SupplierID, ProductID</w:t>
            </w:r>
          </w:p>
        </w:tc>
      </w:tr>
      <w:tr>
        <w:tc>
          <w:tcPr>
            <w:tcW w:type="dxa" w:w="3024"/>
          </w:tcPr>
          <w:p>
            <w:r/>
            <w:r>
              <w:rPr>
                <w:sz w:val="19"/>
              </w:rPr>
              <w:t>INSPECTION</w:t>
            </w:r>
          </w:p>
        </w:tc>
        <w:tc>
          <w:tcPr>
            <w:tcW w:type="dxa" w:w="3168"/>
          </w:tcPr>
          <w:p>
            <w:r/>
            <w:r>
              <w:rPr>
                <w:sz w:val="19"/>
              </w:rPr>
              <w:t>InspID</w:t>
            </w:r>
          </w:p>
        </w:tc>
        <w:tc>
          <w:tcPr>
            <w:tcW w:type="dxa" w:w="3744"/>
          </w:tcPr>
          <w:p>
            <w:r/>
            <w:r>
              <w:rPr>
                <w:sz w:val="19"/>
              </w:rPr>
              <w:t>SupplierID + ProductID (to SUPPLIES)</w:t>
            </w:r>
          </w:p>
        </w:tc>
      </w:tr>
      <w:tr>
        <w:tc>
          <w:tcPr>
            <w:tcW w:type="dxa" w:w="3024"/>
          </w:tcPr>
          <w:p>
            <w:r/>
            <w:r>
              <w:rPr>
                <w:sz w:val="19"/>
              </w:rPr>
              <w:t>WAREHOUSE</w:t>
            </w:r>
          </w:p>
        </w:tc>
        <w:tc>
          <w:tcPr>
            <w:tcW w:type="dxa" w:w="3168"/>
          </w:tcPr>
          <w:p>
            <w:r/>
            <w:r>
              <w:rPr>
                <w:sz w:val="19"/>
              </w:rPr>
              <w:t>WarehouseID</w:t>
            </w:r>
          </w:p>
        </w:tc>
        <w:tc>
          <w:tcPr>
            <w:tcW w:type="dxa" w:w="3744"/>
          </w:tcPr>
          <w:p>
            <w:r/>
            <w:r>
              <w:rPr>
                <w:sz w:val="19"/>
              </w:rPr>
              <w:t>City, ManagerID (UNIQUE)</w:t>
            </w:r>
          </w:p>
        </w:tc>
      </w:tr>
      <w:tr>
        <w:tc>
          <w:tcPr>
            <w:tcW w:type="dxa" w:w="3024"/>
          </w:tcPr>
          <w:p>
            <w:r/>
            <w:r>
              <w:rPr>
                <w:sz w:val="19"/>
              </w:rPr>
              <w:t>EMPLOYEE</w:t>
            </w:r>
          </w:p>
        </w:tc>
        <w:tc>
          <w:tcPr>
            <w:tcW w:type="dxa" w:w="3168"/>
          </w:tcPr>
          <w:p>
            <w:r/>
            <w:r>
              <w:rPr>
                <w:sz w:val="19"/>
              </w:rPr>
              <w:t>EmpID</w:t>
            </w:r>
          </w:p>
        </w:tc>
        <w:tc>
          <w:tcPr>
            <w:tcW w:type="dxa" w:w="3744"/>
          </w:tcPr>
          <w:p>
            <w:r/>
            <w:r>
              <w:rPr>
                <w:sz w:val="19"/>
              </w:rPr>
              <w:t>WarehouseID, SupervisorID</w:t>
            </w:r>
          </w:p>
        </w:tc>
      </w:tr>
      <w:tr>
        <w:tc>
          <w:tcPr>
            <w:tcW w:type="dxa" w:w="3024"/>
          </w:tcPr>
          <w:p>
            <w:r/>
            <w:r>
              <w:rPr>
                <w:sz w:val="19"/>
              </w:rPr>
              <w:t>MANAGER</w:t>
            </w:r>
          </w:p>
        </w:tc>
        <w:tc>
          <w:tcPr>
            <w:tcW w:type="dxa" w:w="3168"/>
          </w:tcPr>
          <w:p>
            <w:r/>
            <w:r>
              <w:rPr>
                <w:sz w:val="19"/>
              </w:rPr>
              <w:t>EmpID</w:t>
            </w:r>
          </w:p>
        </w:tc>
        <w:tc>
          <w:tcPr>
            <w:tcW w:type="dxa" w:w="3744"/>
          </w:tcPr>
          <w:p>
            <w:r/>
            <w:r>
              <w:rPr>
                <w:sz w:val="19"/>
              </w:rPr>
              <w:t>EmpID</w:t>
            </w:r>
          </w:p>
        </w:tc>
      </w:tr>
      <w:tr>
        <w:tc>
          <w:tcPr>
            <w:tcW w:type="dxa" w:w="3024"/>
          </w:tcPr>
          <w:p>
            <w:r/>
            <w:r>
              <w:rPr>
                <w:sz w:val="19"/>
              </w:rPr>
              <w:t>DRIVER</w:t>
            </w:r>
          </w:p>
        </w:tc>
        <w:tc>
          <w:tcPr>
            <w:tcW w:type="dxa" w:w="3168"/>
          </w:tcPr>
          <w:p>
            <w:r/>
            <w:r>
              <w:rPr>
                <w:sz w:val="19"/>
              </w:rPr>
              <w:t>EmpID</w:t>
            </w:r>
          </w:p>
        </w:tc>
        <w:tc>
          <w:tcPr>
            <w:tcW w:type="dxa" w:w="3744"/>
          </w:tcPr>
          <w:p>
            <w:r/>
            <w:r>
              <w:rPr>
                <w:sz w:val="19"/>
              </w:rPr>
              <w:t>EmpID</w:t>
            </w:r>
          </w:p>
        </w:tc>
      </w:tr>
      <w:tr>
        <w:tc>
          <w:tcPr>
            <w:tcW w:type="dxa" w:w="3024"/>
          </w:tcPr>
          <w:p>
            <w:r/>
            <w:r>
              <w:rPr>
                <w:sz w:val="19"/>
              </w:rPr>
              <w:t>DRIVER_CITY</w:t>
            </w:r>
          </w:p>
        </w:tc>
        <w:tc>
          <w:tcPr>
            <w:tcW w:type="dxa" w:w="3168"/>
          </w:tcPr>
          <w:p>
            <w:r/>
            <w:r>
              <w:rPr>
                <w:sz w:val="19"/>
              </w:rPr>
              <w:t>DriverID</w:t>
            </w:r>
          </w:p>
        </w:tc>
        <w:tc>
          <w:tcPr>
            <w:tcW w:type="dxa" w:w="3744"/>
          </w:tcPr>
          <w:p>
            <w:r/>
            <w:r>
              <w:rPr>
                <w:sz w:val="19"/>
              </w:rPr>
              <w:t>DriverID, City</w:t>
            </w:r>
          </w:p>
        </w:tc>
      </w:tr>
      <w:tr>
        <w:tc>
          <w:tcPr>
            <w:tcW w:type="dxa" w:w="3024"/>
          </w:tcPr>
          <w:p>
            <w:r/>
            <w:r>
              <w:rPr>
                <w:sz w:val="19"/>
              </w:rPr>
              <w:t>STOCK</w:t>
            </w:r>
          </w:p>
        </w:tc>
        <w:tc>
          <w:tcPr>
            <w:tcW w:type="dxa" w:w="3168"/>
          </w:tcPr>
          <w:p>
            <w:r/>
            <w:r>
              <w:rPr>
                <w:sz w:val="19"/>
              </w:rPr>
              <w:t>WarehouseID + ProductID</w:t>
            </w:r>
          </w:p>
        </w:tc>
        <w:tc>
          <w:tcPr>
            <w:tcW w:type="dxa" w:w="3744"/>
          </w:tcPr>
          <w:p>
            <w:r/>
            <w:r>
              <w:rPr>
                <w:sz w:val="19"/>
              </w:rPr>
              <w:t>WarehouseID, ProductID</w:t>
            </w:r>
          </w:p>
        </w:tc>
      </w:tr>
      <w:tr>
        <w:tc>
          <w:tcPr>
            <w:tcW w:type="dxa" w:w="3024"/>
          </w:tcPr>
          <w:p>
            <w:r/>
            <w:r>
              <w:rPr>
                <w:sz w:val="19"/>
              </w:rPr>
              <w:t>CUSTOMER</w:t>
            </w:r>
          </w:p>
        </w:tc>
        <w:tc>
          <w:tcPr>
            <w:tcW w:type="dxa" w:w="3168"/>
          </w:tcPr>
          <w:p>
            <w:r/>
            <w:r>
              <w:rPr>
                <w:sz w:val="19"/>
              </w:rPr>
              <w:t>CustID</w:t>
            </w:r>
          </w:p>
        </w:tc>
        <w:tc>
          <w:tcPr>
            <w:tcW w:type="dxa" w:w="3744"/>
          </w:tcPr>
          <w:p>
            <w:r/>
            <w:r>
              <w:rPr>
                <w:sz w:val="19"/>
              </w:rPr>
              <w:t>City</w:t>
            </w:r>
          </w:p>
        </w:tc>
      </w:tr>
      <w:tr>
        <w:tc>
          <w:tcPr>
            <w:tcW w:type="dxa" w:w="3024"/>
          </w:tcPr>
          <w:p>
            <w:r/>
            <w:r>
              <w:rPr>
                <w:sz w:val="19"/>
              </w:rPr>
              <w:t>ORDERS</w:t>
            </w:r>
          </w:p>
        </w:tc>
        <w:tc>
          <w:tcPr>
            <w:tcW w:type="dxa" w:w="3168"/>
          </w:tcPr>
          <w:p>
            <w:r/>
            <w:r>
              <w:rPr>
                <w:sz w:val="19"/>
              </w:rPr>
              <w:t>OrderID</w:t>
            </w:r>
          </w:p>
        </w:tc>
        <w:tc>
          <w:tcPr>
            <w:tcW w:type="dxa" w:w="3744"/>
          </w:tcPr>
          <w:p>
            <w:r/>
            <w:r>
              <w:rPr>
                <w:sz w:val="19"/>
              </w:rPr>
              <w:t>CustID</w:t>
            </w:r>
          </w:p>
        </w:tc>
      </w:tr>
      <w:tr>
        <w:tc>
          <w:tcPr>
            <w:tcW w:type="dxa" w:w="3024"/>
          </w:tcPr>
          <w:p>
            <w:r/>
            <w:r>
              <w:rPr>
                <w:sz w:val="19"/>
              </w:rPr>
              <w:t>ORDER_ITEM</w:t>
            </w:r>
          </w:p>
        </w:tc>
        <w:tc>
          <w:tcPr>
            <w:tcW w:type="dxa" w:w="3168"/>
          </w:tcPr>
          <w:p>
            <w:r/>
            <w:r>
              <w:rPr>
                <w:sz w:val="19"/>
              </w:rPr>
              <w:t>OrderID + ItemNo</w:t>
            </w:r>
          </w:p>
        </w:tc>
        <w:tc>
          <w:tcPr>
            <w:tcW w:type="dxa" w:w="3744"/>
          </w:tcPr>
          <w:p>
            <w:r/>
            <w:r>
              <w:rPr>
                <w:sz w:val="19"/>
              </w:rPr>
              <w:t>OrderID, ProductID</w:t>
            </w:r>
          </w:p>
        </w:tc>
      </w:tr>
      <w:tr>
        <w:tc>
          <w:tcPr>
            <w:tcW w:type="dxa" w:w="3024"/>
          </w:tcPr>
          <w:p>
            <w:r/>
            <w:r>
              <w:rPr>
                <w:sz w:val="19"/>
              </w:rPr>
              <w:t>ORDER_DRIVER</w:t>
            </w:r>
          </w:p>
        </w:tc>
        <w:tc>
          <w:tcPr>
            <w:tcW w:type="dxa" w:w="3168"/>
          </w:tcPr>
          <w:p>
            <w:r/>
            <w:r>
              <w:rPr>
                <w:sz w:val="19"/>
              </w:rPr>
              <w:t>OrderID + DriverID</w:t>
            </w:r>
          </w:p>
        </w:tc>
        <w:tc>
          <w:tcPr>
            <w:tcW w:type="dxa" w:w="3744"/>
          </w:tcPr>
          <w:p>
            <w:r/>
            <w:r>
              <w:rPr>
                <w:sz w:val="19"/>
              </w:rPr>
              <w:t>OrderID, DriverID</w:t>
            </w:r>
          </w:p>
        </w:tc>
      </w:tr>
      <w:tr>
        <w:tc>
          <w:tcPr>
            <w:tcW w:type="dxa" w:w="3024"/>
          </w:tcPr>
          <w:p>
            <w:r/>
            <w:r>
              <w:rPr>
                <w:sz w:val="19"/>
              </w:rPr>
              <w:t>GOODS_MOVEMENT</w:t>
            </w:r>
          </w:p>
        </w:tc>
        <w:tc>
          <w:tcPr>
            <w:tcW w:type="dxa" w:w="3168"/>
          </w:tcPr>
          <w:p>
            <w:r/>
            <w:r>
              <w:rPr>
                <w:sz w:val="19"/>
              </w:rPr>
              <w:t>MovementID</w:t>
            </w:r>
          </w:p>
        </w:tc>
        <w:tc>
          <w:tcPr>
            <w:tcW w:type="dxa" w:w="3744"/>
          </w:tcPr>
          <w:p>
            <w:r/>
            <w:r>
              <w:rPr>
                <w:sz w:val="19"/>
              </w:rPr>
              <w:t>OrderID</w:t>
            </w:r>
          </w:p>
        </w:tc>
      </w:tr>
      <w:tr>
        <w:tc>
          <w:tcPr>
            <w:tcW w:type="dxa" w:w="3024"/>
          </w:tcPr>
          <w:p>
            <w:r/>
            <w:r>
              <w:rPr>
                <w:sz w:val="19"/>
              </w:rPr>
              <w:t>SHIPMENT</w:t>
            </w:r>
          </w:p>
        </w:tc>
        <w:tc>
          <w:tcPr>
            <w:tcW w:type="dxa" w:w="3168"/>
          </w:tcPr>
          <w:p>
            <w:r/>
            <w:r>
              <w:rPr>
                <w:sz w:val="19"/>
              </w:rPr>
              <w:t>MovementID</w:t>
            </w:r>
          </w:p>
        </w:tc>
        <w:tc>
          <w:tcPr>
            <w:tcW w:type="dxa" w:w="3744"/>
          </w:tcPr>
          <w:p>
            <w:r/>
            <w:r>
              <w:rPr>
                <w:sz w:val="19"/>
              </w:rPr>
              <w:t>MovementID, WarehouseID</w:t>
            </w:r>
          </w:p>
        </w:tc>
      </w:tr>
      <w:tr>
        <w:tc>
          <w:tcPr>
            <w:tcW w:type="dxa" w:w="3024"/>
          </w:tcPr>
          <w:p>
            <w:r/>
            <w:r>
              <w:rPr>
                <w:sz w:val="19"/>
              </w:rPr>
              <w:t>GOODS_RETURN</w:t>
            </w:r>
          </w:p>
        </w:tc>
        <w:tc>
          <w:tcPr>
            <w:tcW w:type="dxa" w:w="3168"/>
          </w:tcPr>
          <w:p>
            <w:r/>
            <w:r>
              <w:rPr>
                <w:sz w:val="19"/>
              </w:rPr>
              <w:t>MovementID</w:t>
            </w:r>
          </w:p>
        </w:tc>
        <w:tc>
          <w:tcPr>
            <w:tcW w:type="dxa" w:w="3744"/>
          </w:tcPr>
          <w:p>
            <w:r/>
            <w:r>
              <w:rPr>
                <w:sz w:val="19"/>
              </w:rPr>
              <w:t>MovementID</w:t>
            </w:r>
          </w:p>
        </w:tc>
      </w:tr>
    </w:tbl>
    <w:p>
      <w:pPr>
        <w:pStyle w:val="Heading2"/>
      </w:pPr>
      <w:r>
        <w:rPr>
          <w:color w:val="000000"/>
        </w:rPr>
        <w:t>10.2 Why the Design Is Now Safe</w:t>
      </w:r>
    </w:p>
    <w:p>
      <w:pPr>
        <w:pStyle w:val="ListBullet"/>
      </w:pPr>
      <w:r>
        <w:rPr>
          <w:sz w:val="21"/>
        </w:rPr>
        <w:t>Every fact is stored in exactly one place, so two rows can never disagree.</w:t>
      </w:r>
    </w:p>
    <w:p>
      <w:pPr>
        <w:pStyle w:val="ListBullet"/>
      </w:pPr>
      <w:r>
        <w:rPr>
          <w:sz w:val="21"/>
        </w:rPr>
        <w:t>Correcting a product name, a customer address or a city's state is a single-row edit.</w:t>
      </w:r>
    </w:p>
    <w:p>
      <w:pPr>
        <w:pStyle w:val="ListBullet"/>
      </w:pPr>
      <w:r>
        <w:rPr>
          <w:sz w:val="21"/>
        </w:rPr>
        <w:t>A supplier, product or customer can be added before it appears on any order.</w:t>
      </w:r>
    </w:p>
    <w:p>
      <w:pPr>
        <w:pStyle w:val="ListBullet"/>
      </w:pPr>
      <w:r>
        <w:rPr>
          <w:sz w:val="21"/>
        </w:rPr>
        <w:t>Deleting an order cannot wipe out the customer who placed it.</w:t>
      </w:r>
    </w:p>
    <w:p>
      <w:pPr>
        <w:pStyle w:val="ListBullet"/>
      </w:pPr>
      <w:r>
        <w:rPr>
          <w:sz w:val="21"/>
        </w:rPr>
        <w:t>TotalAmt is calculated from the order lines rather than stored, so it can never fall out of step with them.</w:t>
      </w:r>
    </w:p>
    <w:p>
      <w:pPr>
        <w:pStyle w:val="ListBullet"/>
      </w:pPr>
      <w:r>
        <w:rPr>
          <w:sz w:val="21"/>
        </w:rPr>
        <w:t>A movement is recorded once, in GOODS_MOVEMENT, whether it is a shipment or a return, so neither kind can go missing from a count of what left the warehouse.</w:t>
      </w:r>
    </w:p>
    <w:p>
      <w:pPr>
        <w:pStyle w:val="ListBullet"/>
      </w:pPr>
      <w:r>
        <w:rPr>
          <w:sz w:val="21"/>
        </w:rPr>
        <w:t>An inspection cannot name a supplier and a product that are not actually paired, because its foreign key is the pair.</w:t>
      </w:r>
    </w:p>
    <w:p>
      <w:pPr>
        <w:pStyle w:val="ListBullet"/>
      </w:pPr>
      <w:r>
        <w:rPr>
          <w:sz w:val="21"/>
        </w:rPr>
        <w:t>A product that is both perishable and hazardous is one row in PRODUCT with one row in each subclass table, so neither set of handling rules has to be copied into the other.</w:t>
      </w:r>
    </w:p>
    <w:p>
      <w:r>
        <w:rPr>
          <w:b w:val="0"/>
          <w:i w:val="0"/>
          <w:sz w:val="22"/>
        </w:rPr>
        <w:t>Two tables are worth a second look. WAREHOUSE has two candidate keys, WarehouseID and ManagerID, because MANAGES is 1:1 and ManagerID is therefore UNIQUE. Both determinants are candidate keys, so the table is still in BCNF. GOODS_MOVEMENT, SHIPMENT and GOODS_RETURN each have MovementID as their only key and no other determinant, which is what generalization gives for free: the shared columns sit in one table, so there is nowhere for a second copy of them to disagree.</w:t>
      </w:r>
    </w:p>
    <w:p>
      <w:r>
        <w:rPr>
          <w:b w:val="0"/>
          <w:i w:val="0"/>
          <w:sz w:val="22"/>
        </w:rPr>
        <w:t>One trade-off is worth recording. Splitting DELIVERY_DUTY into DRIVER_CITY and ORDER_DRIVER means F7, {OrderID, City} -&gt; DriverID, can no longer be checked inside a single table. It will be enforced by a trigger in DA2. This is the normal price of BCNF, and it is worth paying here because the alternative allows a driver to be recorded against two different cities at once.</w:t>
      </w:r>
    </w:p>
    <w:p>
      <w:pPr>
        <w:pStyle w:val="Heading1"/>
      </w:pPr>
      <w:r>
        <w:rPr>
          <w:color w:val="000000"/>
        </w:rPr>
        <w:t>11. Conclusion and Next Steps</w:t>
      </w:r>
    </w:p>
    <w:p>
      <w:r>
        <w:rPr>
          <w:b w:val="0"/>
          <w:i w:val="0"/>
          <w:sz w:val="22"/>
        </w:rPr>
        <w:t>DA1 delivered an ER model of nine entities and twelve relationships, the same model extended into an EER model with specialization, both total and disjoint and partial and overlapping, generalization, aggregation, a weak entity, a 1:1 relationship made precise, and multivalued, composite and derived attributes, a dependency analysis carried out on sample rows, and a full normalization from UNF to BCNF in which every step is shown with the tables before and after. The result is 21 tables, all in BCNF.</w:t>
      </w:r>
    </w:p>
    <w:p>
      <w:r>
        <w:rPr>
          <w:b/>
          <w:i w:val="0"/>
          <w:sz w:val="22"/>
        </w:rPr>
        <w:t xml:space="preserve">DA2, due 18 September 2026: </w:t>
      </w:r>
      <w:r>
        <w:t>create the 21 tables in SQL with their keys and constraints, load sample data, add the trigger that enforces the dependency lost at BCNF, and write PL/SQL procedures for receiving stock and dispatching an order.</w:t>
      </w:r>
    </w:p>
    <w:p>
      <w:r>
        <w:rPr>
          <w:b/>
          <w:i w:val="0"/>
          <w:sz w:val="22"/>
        </w:rPr>
        <w:t xml:space="preserve">DA3, due 23 October 2026: </w:t>
      </w:r>
      <w:r>
        <w:t>rebuild the same project on one modern database technology. The current plan is a graph database (Neo4j), because tracing a delivery back through shipment, order, warehouse and supplier is a chain of hops that a graph query expresses in one line, whereas SQL needs a fresh join for every extra step.</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and Supply Chain Management System</dc:title>
  <dc:subject>Database Management Systems, Digital Assignment 1</dc:subject>
  <dc:creator>Avi Dhandhania</dc:creator>
  <cp:keywords/>
  <dc:description/>
  <cp:lastModifiedBy>Avi Dhandhania</cp:lastModifiedBy>
  <cp:revision>9</cp:revision>
  <dcterms:created xsi:type="dcterms:W3CDTF">2026-07-21T19:42:00Z</dcterms:created>
  <dcterms:modified xsi:type="dcterms:W3CDTF">2026-07-28T22:15:00Z</dcterms:modified>
  <cp:category/>
</cp:coreProperties>
</file>