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2D46" w14:textId="77777777" w:rsidR="002152EF" w:rsidRDefault="00000000">
      <w:pPr>
        <w:pStyle w:val="FirstParagraph"/>
      </w:pPr>
      <w:r>
        <w:rPr>
          <w:b/>
          <w:bCs/>
        </w:rPr>
        <w:t>Neutron Field Stability Principles</w:t>
      </w:r>
    </w:p>
    <w:p w14:paraId="5CE9C27A" w14:textId="77777777" w:rsidR="002152EF" w:rsidRDefault="00000000">
      <w:r>
        <w:pict w14:anchorId="161509DF">
          <v:rect id="_x0000_i1025" style="width:0;height:1.5pt" o:hralign="center" o:hrstd="t" o:hr="t"/>
        </w:pict>
      </w:r>
    </w:p>
    <w:p w14:paraId="0ED69951" w14:textId="77777777" w:rsidR="002152EF" w:rsidRDefault="00000000">
      <w:pPr>
        <w:pStyle w:val="Heading3"/>
      </w:pPr>
      <w:bookmarkStart w:id="0" w:name="omer-stability-law"/>
      <w:r>
        <w:t>1. Omer Stability Law</w:t>
      </w:r>
    </w:p>
    <w:p w14:paraId="59C4677B" w14:textId="77777777" w:rsidR="002152EF" w:rsidRDefault="00000000">
      <w:pPr>
        <w:pStyle w:val="FirstParagraph"/>
      </w:pPr>
      <w:r>
        <w:t>A neutron is stable if the total electric field acting on it exceeds a critical threshold:</w:t>
      </w:r>
    </w:p>
    <w:p w14:paraId="5EC2B638" w14:textId="77777777" w:rsidR="002152EF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nor/>
                    </m:rPr>
                    <m:t>ext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Omer</m:t>
              </m:r>
            </m:sub>
          </m:sSub>
        </m:oMath>
      </m:oMathPara>
    </w:p>
    <w:p w14:paraId="6ED568B1" w14:textId="77777777" w:rsidR="002152EF" w:rsidRDefault="00000000">
      <w:pPr>
        <w:pStyle w:val="Compact"/>
        <w:numPr>
          <w:ilvl w:val="0"/>
          <w:numId w:val="2"/>
        </w:numPr>
      </w:pPr>
      <w:r>
        <w:t>(_{}) – external electric field vector at the neutron’s location</w:t>
      </w:r>
    </w:p>
    <w:p w14:paraId="0C1E5327" w14:textId="77777777" w:rsidR="002152EF" w:rsidRDefault="00000000">
      <w:pPr>
        <w:pStyle w:val="Compact"/>
        <w:numPr>
          <w:ilvl w:val="0"/>
          <w:numId w:val="2"/>
        </w:numPr>
      </w:pPr>
      <w:r>
        <w:t>(E_{}) – the critical stability threshold</w:t>
      </w:r>
    </w:p>
    <w:p w14:paraId="0268B499" w14:textId="77777777" w:rsidR="002152EF" w:rsidRDefault="00000000">
      <w:pPr>
        <w:pStyle w:val="FirstParagraph"/>
      </w:pPr>
      <w:r>
        <w:t xml:space="preserve">This is not merely a trigger for disruption, but a </w:t>
      </w:r>
      <w:r>
        <w:rPr>
          <w:b/>
          <w:bCs/>
        </w:rPr>
        <w:t>necessary condition for equilibrium</w:t>
      </w:r>
      <w:r>
        <w:t xml:space="preserve">: &gt; A neutron </w:t>
      </w:r>
      <w:r>
        <w:rPr>
          <w:b/>
          <w:bCs/>
        </w:rPr>
        <w:t>requires</w:t>
      </w:r>
      <w:r>
        <w:t xml:space="preserve"> a nonzero surrounding electric field to maintain internal balance. &gt; If the external field is absent or too weak, the confined field becomes unstable and decay follows.</w:t>
      </w:r>
    </w:p>
    <w:p w14:paraId="05E4F241" w14:textId="77777777" w:rsidR="002152EF" w:rsidRDefault="00000000">
      <w:pPr>
        <w:pStyle w:val="BodyText"/>
      </w:pPr>
      <w:r>
        <w:rPr>
          <w:b/>
          <w:bCs/>
        </w:rPr>
        <w:t>Estimated Value:</w:t>
      </w:r>
      <w:r>
        <w:t xml:space="preserve"> Given a confined internal separation of (0.55,), the required stabilizing field is:</w:t>
      </w:r>
    </w:p>
    <w:p w14:paraId="3B2E6296" w14:textId="77777777" w:rsidR="002152E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Omer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4.76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21</m:t>
              </m:r>
            </m:sup>
          </m:sSup>
          <m:r>
            <w:rPr>
              <w:rFonts w:ascii="Cambria Math" w:hAnsi="Cambria Math"/>
            </w:rPr>
            <m:t> </m:t>
          </m:r>
          <m:r>
            <m:rPr>
              <m:nor/>
            </m:rPr>
            <m:t>V/m</m:t>
          </m:r>
        </m:oMath>
      </m:oMathPara>
    </w:p>
    <w:p w14:paraId="7D88DD16" w14:textId="77777777" w:rsidR="002152EF" w:rsidRDefault="00000000">
      <w:r>
        <w:pict w14:anchorId="402872D9">
          <v:rect id="_x0000_i1026" style="width:0;height:1.5pt" o:hralign="center" o:hrstd="t" o:hr="t"/>
        </w:pict>
      </w:r>
    </w:p>
    <w:p w14:paraId="0696864A" w14:textId="77777777" w:rsidR="002152EF" w:rsidRDefault="00000000">
      <w:pPr>
        <w:pStyle w:val="Heading3"/>
      </w:pPr>
      <w:bookmarkStart w:id="1" w:name="neutron-interaction-requirement"/>
      <w:bookmarkEnd w:id="0"/>
      <w:r>
        <w:t>2. Neutron Interaction Requirement</w:t>
      </w:r>
    </w:p>
    <w:p w14:paraId="57AA6A92" w14:textId="77777777" w:rsidR="002152EF" w:rsidRDefault="00000000">
      <w:pPr>
        <w:pStyle w:val="FirstParagraph"/>
      </w:pPr>
      <w:r>
        <w:t xml:space="preserve">A neutron can only engage in stable binding if </w:t>
      </w:r>
      <w:r>
        <w:rPr>
          <w:b/>
          <w:bCs/>
        </w:rPr>
        <w:t>there is either</w:t>
      </w:r>
      <w:r>
        <w:t xml:space="preserve">: - (a) </w:t>
      </w:r>
      <w:r>
        <w:rPr>
          <w:b/>
          <w:bCs/>
        </w:rPr>
        <w:t>Physical overlap</w:t>
      </w:r>
      <w:r>
        <w:t xml:space="preserve"> with another neutron (i.e., their internal fields intersect like two touching spheres), </w:t>
      </w:r>
      <w:r>
        <w:rPr>
          <w:b/>
          <w:bCs/>
        </w:rPr>
        <w:t>or</w:t>
      </w:r>
      <w:r>
        <w:t xml:space="preserve"> - (b) </w:t>
      </w:r>
      <w:r>
        <w:rPr>
          <w:b/>
          <w:bCs/>
        </w:rPr>
        <w:t>An external electric field (e.g., from a proton) penetrates its internal field zone</w:t>
      </w:r>
      <w:r>
        <w:t>.</w:t>
      </w:r>
    </w:p>
    <w:p w14:paraId="3FC74AE4" w14:textId="77777777" w:rsidR="002152EF" w:rsidRDefault="00000000">
      <w:pPr>
        <w:pStyle w:val="BodyText"/>
      </w:pPr>
      <w:r>
        <w:t>Otherwise, no interaction or binding occurs.</w:t>
      </w:r>
    </w:p>
    <w:p w14:paraId="5B90DD3A" w14:textId="77777777" w:rsidR="002152EF" w:rsidRDefault="00000000">
      <w:r>
        <w:pict w14:anchorId="6ACAC991">
          <v:rect id="_x0000_i1027" style="width:0;height:1.5pt" o:hralign="center" o:hrstd="t" o:hr="t"/>
        </w:pict>
      </w:r>
    </w:p>
    <w:p w14:paraId="5F83D016" w14:textId="77777777" w:rsidR="002152EF" w:rsidRDefault="00000000">
      <w:pPr>
        <w:pStyle w:val="Heading3"/>
      </w:pPr>
      <w:bookmarkStart w:id="2" w:name="neutron-to-neutron-binding"/>
      <w:bookmarkEnd w:id="1"/>
      <w:r>
        <w:t>3. Neutron-to-Neutron Binding</w:t>
      </w:r>
    </w:p>
    <w:p w14:paraId="5ED2C9E9" w14:textId="77777777" w:rsidR="002152EF" w:rsidRDefault="00000000">
      <w:pPr>
        <w:pStyle w:val="FirstParagraph"/>
      </w:pPr>
      <w:r>
        <w:t xml:space="preserve">Two or more neutrons </w:t>
      </w:r>
      <w:r>
        <w:rPr>
          <w:b/>
          <w:bCs/>
        </w:rPr>
        <w:t>cannot bind</w:t>
      </w:r>
      <w:r>
        <w:t xml:space="preserve"> unless their confined internal field volumes intersect. This means:</w:t>
      </w:r>
    </w:p>
    <w:p w14:paraId="5798DB64" w14:textId="77777777" w:rsidR="002152E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nn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confined</m:t>
              </m:r>
            </m:sub>
          </m:sSub>
        </m:oMath>
      </m:oMathPara>
    </w:p>
    <w:p w14:paraId="1E256CD0" w14:textId="77777777" w:rsidR="002152EF" w:rsidRDefault="00000000">
      <w:pPr>
        <w:pStyle w:val="FirstParagraph"/>
      </w:pPr>
      <w:r>
        <w:t>Where: - (r_{}) – distance between neutron centers - (R_{}) – radius of the neutron’s internal field</w:t>
      </w:r>
    </w:p>
    <w:p w14:paraId="1CCC271B" w14:textId="77777777" w:rsidR="002152EF" w:rsidRDefault="00000000">
      <w:pPr>
        <w:pStyle w:val="BodyText"/>
      </w:pPr>
      <w:r>
        <w:t>If they don’t touch, they can’t feel each other.</w:t>
      </w:r>
    </w:p>
    <w:p w14:paraId="5F04EB7B" w14:textId="77777777" w:rsidR="002152EF" w:rsidRDefault="00000000">
      <w:r>
        <w:pict w14:anchorId="00A3BE9C">
          <v:rect id="_x0000_i1028" style="width:0;height:1.5pt" o:hralign="center" o:hrstd="t" o:hr="t"/>
        </w:pict>
      </w:r>
    </w:p>
    <w:p w14:paraId="5ACAC21F" w14:textId="77777777" w:rsidR="002152EF" w:rsidRDefault="00000000">
      <w:pPr>
        <w:pStyle w:val="Heading3"/>
      </w:pPr>
      <w:bookmarkStart w:id="3" w:name="proton-induced-activation"/>
      <w:bookmarkEnd w:id="2"/>
      <w:r>
        <w:lastRenderedPageBreak/>
        <w:t>4. Proton-Induced Activation</w:t>
      </w:r>
    </w:p>
    <w:p w14:paraId="2F860371" w14:textId="77777777" w:rsidR="002152EF" w:rsidRDefault="00000000">
      <w:pPr>
        <w:pStyle w:val="FirstParagraph"/>
      </w:pPr>
      <w:r>
        <w:t>Protons generate an external electric field that extends beyond their own volume. This field: - Can penetrate the confined region of a nearby neutron - Disrupts its internal equilibrium - Triggers exposure of the neutron’s internal field</w:t>
      </w:r>
    </w:p>
    <w:p w14:paraId="433EDA45" w14:textId="77777777" w:rsidR="002152EF" w:rsidRDefault="00000000">
      <w:pPr>
        <w:pStyle w:val="BodyText"/>
      </w:pPr>
      <w:r>
        <w:t>This interaction enables stable proton-neutron binding from a distance (without direct contact).</w:t>
      </w:r>
    </w:p>
    <w:p w14:paraId="5D486933" w14:textId="77777777" w:rsidR="002152EF" w:rsidRDefault="00000000">
      <w:r>
        <w:pict w14:anchorId="24D40EC3">
          <v:rect id="_x0000_i1029" style="width:0;height:1.5pt" o:hralign="center" o:hrstd="t" o:hr="t"/>
        </w:pict>
      </w:r>
    </w:p>
    <w:p w14:paraId="3DF8A517" w14:textId="77777777" w:rsidR="002152EF" w:rsidRDefault="00000000">
      <w:pPr>
        <w:pStyle w:val="Heading3"/>
      </w:pPr>
      <w:bookmarkStart w:id="4" w:name="ringaxis-stability-principle"/>
      <w:bookmarkEnd w:id="3"/>
      <w:r>
        <w:t>5. Ring–Axis Stability Principle</w:t>
      </w:r>
    </w:p>
    <w:p w14:paraId="06E23BD9" w14:textId="77777777" w:rsidR="002152EF" w:rsidRDefault="00000000">
      <w:pPr>
        <w:pStyle w:val="FirstParagraph"/>
      </w:pPr>
      <w:r>
        <w:t xml:space="preserve">In ring-shaped nuclear structures: - </w:t>
      </w:r>
      <w:r>
        <w:rPr>
          <w:b/>
          <w:bCs/>
        </w:rPr>
        <w:t>The proton ring alone</w:t>
      </w:r>
      <w:r>
        <w:t xml:space="preserve"> produces a symmetric, surrounding field that is not strong or focused enough to activate central neutrons. - </w:t>
      </w:r>
      <w:r>
        <w:rPr>
          <w:b/>
          <w:bCs/>
        </w:rPr>
        <w:t>Protons along the axis</w:t>
      </w:r>
      <w:r>
        <w:t xml:space="preserve"> create a focused field that acts directly on the inner neutrons. - </w:t>
      </w:r>
      <w:r>
        <w:rPr>
          <w:b/>
          <w:bCs/>
        </w:rPr>
        <w:t>Only the combination of axis and ring fields</w:t>
      </w:r>
      <w:r>
        <w:t xml:space="preserve"> can jointly produce:</w:t>
      </w:r>
    </w:p>
    <w:p w14:paraId="301EBB2A" w14:textId="77777777" w:rsidR="002152EF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nor/>
                    </m:rPr>
                    <m:t>axis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nor/>
                    </m:rPr>
                    <m:t>ring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Omer</m:t>
              </m:r>
            </m:sub>
          </m:sSub>
        </m:oMath>
      </m:oMathPara>
    </w:p>
    <w:p w14:paraId="25FF111A" w14:textId="77777777" w:rsidR="002152EF" w:rsidRDefault="00000000">
      <w:pPr>
        <w:pStyle w:val="FirstParagraph"/>
      </w:pPr>
      <w:r>
        <w:t>Therefore, a neutron at the core of a ring-axis structure is only stable if axial protons are present.</w:t>
      </w:r>
    </w:p>
    <w:p w14:paraId="453FD9ED" w14:textId="77777777" w:rsidR="002152EF" w:rsidRDefault="00000000">
      <w:r>
        <w:pict w14:anchorId="76470922">
          <v:rect id="_x0000_i1030" style="width:0;height:1.5pt" o:hralign="center" o:hrstd="t" o:hr="t"/>
        </w:pict>
      </w:r>
    </w:p>
    <w:p w14:paraId="3D983DE0" w14:textId="77777777" w:rsidR="002152EF" w:rsidRDefault="00000000">
      <w:pPr>
        <w:pStyle w:val="Heading3"/>
      </w:pPr>
      <w:bookmarkStart w:id="5" w:name="confined-field-disruption-mechanism"/>
      <w:bookmarkEnd w:id="4"/>
      <w:r>
        <w:t>6. Confined Field Disruption Mechanism</w:t>
      </w:r>
    </w:p>
    <w:p w14:paraId="148A9FFB" w14:textId="77777777" w:rsidR="002152EF" w:rsidRDefault="00000000">
      <w:pPr>
        <w:pStyle w:val="FirstParagraph"/>
      </w:pPr>
      <w:r>
        <w:t>The internal electric field of a neutron is a confined structure, held in equilibrium between a positive and a negative source. This field remains inert and non-radiating unless disturbed by external influence.</w:t>
      </w:r>
    </w:p>
    <w:p w14:paraId="25281F5A" w14:textId="77777777" w:rsidR="002152EF" w:rsidRDefault="00000000">
      <w:pPr>
        <w:pStyle w:val="BodyText"/>
      </w:pPr>
      <w:r>
        <w:t>When an external electric field penetrates the confined region: - It creates an internal gradient - Breaks the field symmetry - Produces a net internal force between the components</w:t>
      </w:r>
    </w:p>
    <w:p w14:paraId="0F4777E5" w14:textId="77777777" w:rsidR="002152EF" w:rsidRDefault="00000000">
      <w:pPr>
        <w:pStyle w:val="BodyText"/>
      </w:pPr>
      <w:r>
        <w:t>If the disruption exceeds a critical threshold, the confined field collapses and releases into an open configuration (e.g., forming a free proton and electron).</w:t>
      </w:r>
    </w:p>
    <w:p w14:paraId="43CF4882" w14:textId="77777777" w:rsidR="002152EF" w:rsidRDefault="00000000">
      <w:pPr>
        <w:pStyle w:val="BodyText"/>
      </w:pPr>
      <w:r>
        <w:t>This is the physical mechanism behind neutron decay: not a probabilistic event, but a deterministic result of external field imbalance — or absence.</w:t>
      </w:r>
    </w:p>
    <w:p w14:paraId="021D8589" w14:textId="77777777" w:rsidR="002152EF" w:rsidRDefault="00000000">
      <w:r>
        <w:pict w14:anchorId="1E364ED5">
          <v:rect id="_x0000_i1031" style="width:0;height:1.5pt" o:hralign="center" o:hrstd="t" o:hr="t"/>
        </w:pict>
      </w:r>
    </w:p>
    <w:p w14:paraId="4198983C" w14:textId="77777777" w:rsidR="002152EF" w:rsidRDefault="00000000">
      <w:pPr>
        <w:pStyle w:val="FirstParagraph"/>
      </w:pPr>
      <w:r>
        <w:t>(continued…)</w:t>
      </w:r>
      <w:bookmarkEnd w:id="5"/>
    </w:p>
    <w:sectPr w:rsidR="002152E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AED3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4ECA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25842466">
    <w:abstractNumId w:val="0"/>
  </w:num>
  <w:num w:numId="2" w16cid:durableId="1383090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2EF"/>
    <w:rsid w:val="002152EF"/>
    <w:rsid w:val="00853F15"/>
    <w:rsid w:val="0097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7F9ED"/>
  <w15:docId w15:val="{3E6C2278-64F7-4C96-929F-F3957199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2518</Characters>
  <Application>Microsoft Office Word</Application>
  <DocSecurity>0</DocSecurity>
  <Lines>59</Lines>
  <Paragraphs>35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Avi Hadar</dc:creator>
  <cp:keywords/>
  <cp:lastModifiedBy>Avi Hadar</cp:lastModifiedBy>
  <cp:revision>2</cp:revision>
  <dcterms:created xsi:type="dcterms:W3CDTF">2025-11-13T16:04:00Z</dcterms:created>
  <dcterms:modified xsi:type="dcterms:W3CDTF">2025-11-13T16:04:00Z</dcterms:modified>
</cp:coreProperties>
</file>