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sz w:val="32"/>
        </w:rPr>
        <w:t>Meridian licence agreement: draft for legal review</w:t>
      </w:r>
    </w:p>
    <w:p>
      <w:pPr>
        <w:spacing w:after="120"/>
      </w:pPr>
      <w:r>
        <w:rPr>
          <w:rFonts w:ascii="Arial" w:hAnsi="Arial"/>
          <w:b w:val="0"/>
          <w:i w:val="0"/>
          <w:sz w:val="20"/>
        </w:rPr>
        <w:t>Draft v0.1, 19 September 2026. Prepared by W5 for John Carter and for Avia's solicitor. NOT LEGAL ADVICE. Not to be issued to a client. Private and confidential.</w:t>
      </w:r>
    </w:p>
    <w:p>
      <w:pPr>
        <w:spacing w:after="120"/>
      </w:pPr>
      <w:r>
        <w:rPr>
          <w:rFonts w:ascii="Arial" w:hAnsi="Arial"/>
          <w:b w:val="0"/>
          <w:i w:val="0"/>
          <w:sz w:val="20"/>
        </w:rPr>
        <w:t>Two markers run through the draft:</w:t>
      </w:r>
    </w:p>
    <w:p>
      <w:pPr>
        <w:pStyle w:val="ListBullet"/>
        <w:spacing w:after="40"/>
      </w:pPr>
      <w:r>
        <w:rPr>
          <w:rFonts w:ascii="Arial" w:hAnsi="Arial"/>
          <w:b/>
          <w:i w:val="0"/>
          <w:sz w:val="20"/>
        </w:rPr>
        <w:t>SLOT n</w:t>
      </w:r>
      <w:r>
        <w:rPr>
          <w:rFonts w:ascii="Arial" w:hAnsi="Arial"/>
          <w:b w:val="0"/>
          <w:i w:val="0"/>
          <w:sz w:val="20"/>
        </w:rPr>
        <w:t xml:space="preserve"> marks a commercial figure or term John has not ruled. The fallback stated with each slot applies if it is not filled by 3 October 2026.</w:t>
      </w:r>
    </w:p>
    <w:p>
      <w:pPr>
        <w:pStyle w:val="ListBullet"/>
        <w:spacing w:after="40"/>
      </w:pPr>
      <w:r>
        <w:rPr>
          <w:rFonts w:ascii="Arial" w:hAnsi="Arial"/>
          <w:b/>
          <w:i w:val="0"/>
          <w:sz w:val="20"/>
        </w:rPr>
        <w:t>LAWYER n</w:t>
      </w:r>
      <w:r>
        <w:rPr>
          <w:rFonts w:ascii="Arial" w:hAnsi="Arial"/>
          <w:b w:val="0"/>
          <w:i w:val="0"/>
          <w:sz w:val="20"/>
        </w:rPr>
        <w:t xml:space="preserve"> marks a clause that needs a solicitor before any client sees it.</w:t>
      </w:r>
    </w:p>
    <w:p>
      <w:pPr>
        <w:spacing w:before="200" w:after="60"/>
      </w:pPr>
      <w:r>
        <w:rPr>
          <w:rFonts w:ascii="Arial" w:hAnsi="Arial"/>
          <w:b/>
          <w:i w:val="0"/>
          <w:sz w:val="22"/>
        </w:rPr>
        <w:t>1. Parties</w:t>
      </w:r>
    </w:p>
    <w:p>
      <w:pPr>
        <w:spacing w:after="120"/>
      </w:pPr>
      <w:r>
        <w:rPr>
          <w:rFonts w:ascii="Arial" w:hAnsi="Arial"/>
          <w:b w:val="0"/>
          <w:i w:val="0"/>
          <w:sz w:val="20"/>
        </w:rPr>
        <w:t xml:space="preserve">This agreement is made between </w:t>
      </w:r>
      <w:r>
        <w:rPr>
          <w:rFonts w:ascii="Arial" w:hAnsi="Arial"/>
          <w:b/>
          <w:i w:val="0"/>
          <w:sz w:val="20"/>
        </w:rPr>
        <w:t>SLOT 1</w:t>
      </w:r>
      <w:r>
        <w:rPr>
          <w:rFonts w:ascii="Arial" w:hAnsi="Arial"/>
          <w:b w:val="0"/>
          <w:i w:val="0"/>
          <w:sz w:val="20"/>
        </w:rPr>
        <w:t xml:space="preserve"> (the contracting entity, with its registered number and registered office: Avia Solutions Limited or The Aviation Observatory Ltd; fallback: none, this one is answered before the draft goes to the solicitor, because it decides who owns the data subscriptions, who invoices and who carries the liability) ("the Supplier") and the client named in the schedule ("the Client").</w:t>
      </w:r>
    </w:p>
    <w:p>
      <w:pPr>
        <w:spacing w:before="200" w:after="60"/>
      </w:pPr>
      <w:r>
        <w:rPr>
          <w:rFonts w:ascii="Arial" w:hAnsi="Arial"/>
          <w:b/>
          <w:i w:val="0"/>
          <w:sz w:val="22"/>
        </w:rPr>
        <w:t>2. What the Client receives</w:t>
      </w:r>
    </w:p>
    <w:p>
      <w:pPr>
        <w:spacing w:after="120"/>
      </w:pPr>
      <w:r>
        <w:rPr>
          <w:rFonts w:ascii="Arial" w:hAnsi="Arial"/>
          <w:b w:val="0"/>
          <w:i w:val="0"/>
          <w:sz w:val="20"/>
        </w:rPr>
        <w:t xml:space="preserve">The Supplier grants the Client a non-exclusive, non-transferable annual licence to use Meridian, the route forecasting tool published by The Aviation Observatory, for the Client's own airport or airline and for the term set out in clause 3. The licence covers </w:t>
      </w:r>
      <w:r>
        <w:rPr>
          <w:rFonts w:ascii="Arial" w:hAnsi="Arial"/>
          <w:b/>
          <w:i w:val="0"/>
          <w:sz w:val="20"/>
        </w:rPr>
        <w:t>SLOT 2</w:t>
      </w:r>
      <w:r>
        <w:rPr>
          <w:rFonts w:ascii="Arial" w:hAnsi="Arial"/>
          <w:b w:val="0"/>
          <w:i w:val="0"/>
          <w:sz w:val="20"/>
        </w:rPr>
        <w:t xml:space="preserve"> (named users; fallback: three named seats, as published) individual named users at the Client's organisation. It includes </w:t>
      </w:r>
      <w:r>
        <w:rPr>
          <w:rFonts w:ascii="Arial" w:hAnsi="Arial"/>
          <w:b/>
          <w:i w:val="0"/>
          <w:sz w:val="20"/>
        </w:rPr>
        <w:t>SLOT 3</w:t>
      </w:r>
      <w:r>
        <w:rPr>
          <w:rFonts w:ascii="Arial" w:hAnsi="Arial"/>
          <w:b w:val="0"/>
          <w:i w:val="0"/>
          <w:sz w:val="20"/>
        </w:rPr>
        <w:t xml:space="preserve"> (forecast volume; fallback: forecasts, scenarios and exports unlimited within fair use, as published), </w:t>
      </w:r>
      <w:r>
        <w:rPr>
          <w:rFonts w:ascii="Arial" w:hAnsi="Arial"/>
          <w:b/>
          <w:i w:val="0"/>
          <w:sz w:val="20"/>
        </w:rPr>
        <w:t>SLOT 4</w:t>
      </w:r>
      <w:r>
        <w:rPr>
          <w:rFonts w:ascii="Arial" w:hAnsi="Arial"/>
          <w:b w:val="0"/>
          <w:i w:val="0"/>
          <w:sz w:val="20"/>
        </w:rPr>
        <w:t xml:space="preserve"> (presentations; fallback: 100 generated presentations in each year of the term across the named seats, charged beyond that under clause 4) and </w:t>
      </w:r>
      <w:r>
        <w:rPr>
          <w:rFonts w:ascii="Arial" w:hAnsi="Arial"/>
          <w:b/>
          <w:i w:val="0"/>
          <w:sz w:val="20"/>
        </w:rPr>
        <w:t>SLOT 5</w:t>
      </w:r>
      <w:r>
        <w:rPr>
          <w:rFonts w:ascii="Arial" w:hAnsi="Arial"/>
          <w:b w:val="0"/>
          <w:i w:val="0"/>
          <w:sz w:val="20"/>
        </w:rPr>
        <w:t xml:space="preserve"> (review call; fallback: one review call each quarter with an Avia director).</w:t>
      </w:r>
    </w:p>
    <w:p>
      <w:pPr>
        <w:spacing w:after="120"/>
      </w:pPr>
      <w:r>
        <w:rPr>
          <w:rFonts w:ascii="Arial" w:hAnsi="Arial"/>
          <w:b w:val="0"/>
          <w:i w:val="0"/>
          <w:sz w:val="20"/>
        </w:rPr>
        <w:t xml:space="preserve">The Supplier names the seats on signature. </w:t>
      </w:r>
      <w:r>
        <w:rPr>
          <w:rFonts w:ascii="Arial" w:hAnsi="Arial"/>
          <w:b/>
          <w:i w:val="0"/>
          <w:sz w:val="20"/>
        </w:rPr>
        <w:t>LAWYER 1</w:t>
      </w:r>
      <w:r>
        <w:rPr>
          <w:rFonts w:ascii="Arial" w:hAnsi="Arial"/>
          <w:b w:val="0"/>
          <w:i w:val="0"/>
          <w:sz w:val="20"/>
        </w:rPr>
        <w:t>: seats are per named individual. The clause needs wording on reassignment when a person leaves, and on what happens if a login is shared beyond the named seats.</w:t>
      </w:r>
    </w:p>
    <w:p>
      <w:pPr>
        <w:spacing w:before="200" w:after="60"/>
      </w:pPr>
      <w:r>
        <w:rPr>
          <w:rFonts w:ascii="Arial" w:hAnsi="Arial"/>
          <w:b/>
          <w:i w:val="0"/>
          <w:sz w:val="22"/>
        </w:rPr>
        <w:t>3. Term and renewal</w:t>
      </w:r>
    </w:p>
    <w:p>
      <w:pPr>
        <w:spacing w:after="120"/>
      </w:pPr>
      <w:r>
        <w:rPr>
          <w:rFonts w:ascii="Arial" w:hAnsi="Arial"/>
          <w:b w:val="0"/>
          <w:i w:val="0"/>
          <w:sz w:val="20"/>
        </w:rPr>
        <w:t xml:space="preserve">The term runs for twelve months from </w:t>
      </w:r>
      <w:r>
        <w:rPr>
          <w:rFonts w:ascii="Arial" w:hAnsi="Arial"/>
          <w:b/>
          <w:i w:val="0"/>
          <w:sz w:val="20"/>
        </w:rPr>
        <w:t>SLOT 6</w:t>
      </w:r>
      <w:r>
        <w:rPr>
          <w:rFonts w:ascii="Arial" w:hAnsi="Arial"/>
          <w:b w:val="0"/>
          <w:i w:val="0"/>
          <w:sz w:val="20"/>
        </w:rPr>
        <w:t xml:space="preserve"> (start date; fallback: the date the Supplier gives first access). It renews for a further twelve months only if both parties agree in writing. Year 2 is charged at the list price then published, less </w:t>
      </w:r>
      <w:r>
        <w:rPr>
          <w:rFonts w:ascii="Arial" w:hAnsi="Arial"/>
          <w:b/>
          <w:i w:val="0"/>
          <w:sz w:val="20"/>
        </w:rPr>
        <w:t>SLOT 7</w:t>
      </w:r>
      <w:r>
        <w:rPr>
          <w:rFonts w:ascii="Arial" w:hAnsi="Arial"/>
          <w:b w:val="0"/>
          <w:i w:val="0"/>
          <w:sz w:val="20"/>
        </w:rPr>
        <w:t xml:space="preserve"> (year-2 loyalty discount; fallback: no figure stated, year 2 quoted at list).</w:t>
      </w:r>
    </w:p>
    <w:p>
      <w:pPr>
        <w:spacing w:after="120"/>
      </w:pPr>
      <w:r>
        <w:rPr>
          <w:rFonts w:ascii="Arial" w:hAnsi="Arial"/>
          <w:b/>
          <w:i w:val="0"/>
          <w:sz w:val="20"/>
        </w:rPr>
        <w:t>LAWYER 2</w:t>
      </w:r>
      <w:r>
        <w:rPr>
          <w:rFonts w:ascii="Arial" w:hAnsi="Arial"/>
          <w:b w:val="0"/>
          <w:i w:val="0"/>
          <w:sz w:val="20"/>
        </w:rPr>
        <w:t>: renewal and notice. Avia's instruction is no automatic renewal in year 1, so that a launch customer who is unhappy leaves cleanly and the discount visibly ends.</w:t>
      </w:r>
    </w:p>
    <w:p>
      <w:pPr>
        <w:spacing w:before="200" w:after="60"/>
      </w:pPr>
      <w:r>
        <w:rPr>
          <w:rFonts w:ascii="Arial" w:hAnsi="Arial"/>
          <w:b/>
          <w:i w:val="0"/>
          <w:sz w:val="22"/>
        </w:rPr>
        <w:t>4. Price and payment</w:t>
      </w:r>
    </w:p>
    <w:p>
      <w:pPr>
        <w:spacing w:after="120"/>
      </w:pPr>
      <w:r>
        <w:rPr>
          <w:rFonts w:ascii="Arial" w:hAnsi="Arial"/>
          <w:b w:val="0"/>
          <w:i w:val="0"/>
          <w:sz w:val="20"/>
        </w:rPr>
        <w:t xml:space="preserve">The annual licence fee is £15,000, £20,000 or £25,000 according to the size of the airport, as published. Size is agreed in the quotation from published passenger numbers. </w:t>
      </w:r>
      <w:r>
        <w:rPr>
          <w:rFonts w:ascii="Arial" w:hAnsi="Arial"/>
          <w:b/>
          <w:i w:val="0"/>
          <w:sz w:val="20"/>
        </w:rPr>
        <w:t>SLOT 8</w:t>
      </w:r>
      <w:r>
        <w:rPr>
          <w:rFonts w:ascii="Arial" w:hAnsi="Arial"/>
          <w:b w:val="0"/>
          <w:i w:val="0"/>
          <w:sz w:val="20"/>
        </w:rPr>
        <w:t xml:space="preserve"> (which of the three prices applies to this client; fallback: none, it is set in the quotation).</w:t>
      </w:r>
    </w:p>
    <w:p>
      <w:pPr>
        <w:spacing w:after="120"/>
      </w:pPr>
      <w:r>
        <w:rPr>
          <w:rFonts w:ascii="Arial" w:hAnsi="Arial"/>
          <w:b w:val="0"/>
          <w:i w:val="0"/>
          <w:sz w:val="20"/>
        </w:rPr>
        <w:t xml:space="preserve">Presentations generated beyond the number included in clause 2 are charged for each document at </w:t>
      </w:r>
      <w:r>
        <w:rPr>
          <w:rFonts w:ascii="Arial" w:hAnsi="Arial"/>
          <w:b/>
          <w:i w:val="0"/>
          <w:sz w:val="20"/>
        </w:rPr>
        <w:t>SLOT 9</w:t>
      </w:r>
      <w:r>
        <w:rPr>
          <w:rFonts w:ascii="Arial" w:hAnsi="Arial"/>
          <w:b w:val="0"/>
          <w:i w:val="0"/>
          <w:sz w:val="20"/>
        </w:rPr>
        <w:t xml:space="preserve"> (the overage rate; NO FIGURE EXISTS. The pricing note of 19 September 2026 records it as unset and states it must be set before the first licence is issued. Fallback: the included number becomes a cap, further presentations are quoted separately, and the licence says so).</w:t>
      </w:r>
    </w:p>
    <w:p>
      <w:pPr>
        <w:spacing w:after="120"/>
      </w:pPr>
      <w:r>
        <w:rPr>
          <w:rFonts w:ascii="Arial" w:hAnsi="Arial"/>
          <w:b w:val="0"/>
          <w:i w:val="0"/>
          <w:sz w:val="20"/>
        </w:rPr>
        <w:t>All prices exclude VAT and are in sterling. The Supplier invoices annually in advance. The Client pays within 30 days of the invoice date.</w:t>
      </w:r>
    </w:p>
    <w:p>
      <w:pPr>
        <w:spacing w:after="120"/>
      </w:pPr>
      <w:r>
        <w:rPr>
          <w:rFonts w:ascii="Arial" w:hAnsi="Arial"/>
          <w:b/>
          <w:i w:val="0"/>
          <w:sz w:val="20"/>
        </w:rPr>
        <w:t>LAWYER 3</w:t>
      </w:r>
      <w:r>
        <w:rPr>
          <w:rFonts w:ascii="Arial" w:hAnsi="Arial"/>
          <w:b w:val="0"/>
          <w:i w:val="0"/>
          <w:sz w:val="20"/>
        </w:rPr>
        <w:t>: interest on late payment, and whether the Supplier may suspend access for non-payment and after how long.</w:t>
      </w:r>
    </w:p>
    <w:p>
      <w:pPr>
        <w:spacing w:before="200" w:after="60"/>
      </w:pPr>
      <w:r>
        <w:rPr>
          <w:rFonts w:ascii="Arial" w:hAnsi="Arial"/>
          <w:b/>
          <w:i w:val="0"/>
          <w:sz w:val="22"/>
        </w:rPr>
        <w:t>5. Launch customer discount</w:t>
      </w:r>
    </w:p>
    <w:p>
      <w:pPr>
        <w:spacing w:after="120"/>
      </w:pPr>
      <w:r>
        <w:rPr>
          <w:rFonts w:ascii="Arial" w:hAnsi="Arial"/>
          <w:b w:val="0"/>
          <w:i w:val="0"/>
          <w:sz w:val="20"/>
        </w:rPr>
        <w:t xml:space="preserve">The Client is one of </w:t>
      </w:r>
      <w:r>
        <w:rPr>
          <w:rFonts w:ascii="Arial" w:hAnsi="Arial"/>
          <w:b/>
          <w:i w:val="0"/>
          <w:sz w:val="20"/>
        </w:rPr>
        <w:t>SLOT 10</w:t>
      </w:r>
      <w:r>
        <w:rPr>
          <w:rFonts w:ascii="Arial" w:hAnsi="Arial"/>
          <w:b w:val="0"/>
          <w:i w:val="0"/>
          <w:sz w:val="20"/>
        </w:rPr>
        <w:t xml:space="preserve"> (number of places; fallback: this clause is removed and clause 4 stands alone) launch customers. The Supplier reduces the year-1 fee by </w:t>
      </w:r>
      <w:r>
        <w:rPr>
          <w:rFonts w:ascii="Arial" w:hAnsi="Arial"/>
          <w:b/>
          <w:i w:val="0"/>
          <w:sz w:val="20"/>
        </w:rPr>
        <w:t>SLOT 11</w:t>
      </w:r>
      <w:r>
        <w:rPr>
          <w:rFonts w:ascii="Arial" w:hAnsi="Arial"/>
          <w:b w:val="0"/>
          <w:i w:val="0"/>
          <w:sz w:val="20"/>
        </w:rPr>
        <w:t xml:space="preserve"> (discount; fallback: clause removed, and the stand answer stays "on request, limited places"). The reduction applies only where this agreement is signed by </w:t>
      </w:r>
      <w:r>
        <w:rPr>
          <w:rFonts w:ascii="Arial" w:hAnsi="Arial"/>
          <w:b/>
          <w:i w:val="0"/>
          <w:sz w:val="20"/>
        </w:rPr>
        <w:t>SLOT 12</w:t>
      </w:r>
      <w:r>
        <w:rPr>
          <w:rFonts w:ascii="Arial" w:hAnsi="Arial"/>
          <w:b w:val="0"/>
          <w:i w:val="0"/>
          <w:sz w:val="20"/>
        </w:rPr>
        <w:t xml:space="preserve"> (expiry date; fallback: clause removed). It applies to year 1 only. The Supplier states it as a separate line on the invoice so that its end is visible.</w:t>
      </w:r>
    </w:p>
    <w:p>
      <w:pPr>
        <w:spacing w:before="200" w:after="60"/>
      </w:pPr>
      <w:r>
        <w:rPr>
          <w:rFonts w:ascii="Arial" w:hAnsi="Arial"/>
          <w:b/>
          <w:i w:val="0"/>
          <w:sz w:val="22"/>
        </w:rPr>
        <w:t>6. What the launch customer gives</w:t>
      </w:r>
    </w:p>
    <w:p>
      <w:pPr>
        <w:spacing w:after="120"/>
      </w:pPr>
      <w:r>
        <w:rPr>
          <w:rFonts w:ascii="Arial" w:hAnsi="Arial"/>
          <w:b w:val="0"/>
          <w:i w:val="0"/>
          <w:sz w:val="20"/>
        </w:rPr>
        <w:t>In return, the Client agrees to give the Supplier written feedback on use at least once each quarter during year 1; to act as a named reference if it is satisfied at the end of year 1; and to accept that the Supplier hosts Meridian on its own infrastructure during year 1, with planned maintenance and short interruptions.</w:t>
      </w:r>
    </w:p>
    <w:p>
      <w:pPr>
        <w:spacing w:after="120"/>
      </w:pPr>
      <w:r>
        <w:rPr>
          <w:rFonts w:ascii="Arial" w:hAnsi="Arial"/>
          <w:b/>
          <w:i w:val="0"/>
          <w:sz w:val="20"/>
        </w:rPr>
        <w:t>LAWYER 4</w:t>
      </w:r>
      <w:r>
        <w:rPr>
          <w:rFonts w:ascii="Arial" w:hAnsi="Arial"/>
          <w:b w:val="0"/>
          <w:i w:val="0"/>
          <w:sz w:val="20"/>
        </w:rPr>
        <w:t>: a reference obligation that binds only where the Client is satisfied, and that lets the Client withdraw the reference. Also whether the hosting sentence weakens any service commitment the Supplier makes in clause 11.</w:t>
      </w:r>
    </w:p>
    <w:p>
      <w:pPr>
        <w:spacing w:before="200" w:after="60"/>
      </w:pPr>
      <w:r>
        <w:rPr>
          <w:rFonts w:ascii="Arial" w:hAnsi="Arial"/>
          <w:b/>
          <w:i w:val="0"/>
          <w:sz w:val="22"/>
        </w:rPr>
        <w:t>7. The data behind the outputs</w:t>
      </w:r>
    </w:p>
    <w:p>
      <w:pPr>
        <w:spacing w:after="120"/>
      </w:pPr>
      <w:r>
        <w:rPr>
          <w:rFonts w:ascii="Arial" w:hAnsi="Arial"/>
          <w:b w:val="0"/>
          <w:i w:val="0"/>
          <w:sz w:val="20"/>
        </w:rPr>
        <w:t>Meridian is built on the Supplier's own subscriptions to OAG and Sabre data. Both providers have confirmed on calls, with witnesses present, that the Supplier may use the tool and share its outputs. The Supplier is obtaining that confirmation in writing and will provide it to the Client on request. The Client receives outputs, not data. The Client may use the outputs within its own organisation and with its own professional advisers. The Client does not redistribute, publish or resell them.</w:t>
      </w:r>
    </w:p>
    <w:p>
      <w:pPr>
        <w:spacing w:after="120"/>
      </w:pPr>
      <w:r>
        <w:rPr>
          <w:rFonts w:ascii="Arial" w:hAnsi="Arial"/>
          <w:b/>
          <w:i w:val="0"/>
          <w:sz w:val="20"/>
        </w:rPr>
        <w:t>LAWYER 5</w:t>
      </w:r>
      <w:r>
        <w:rPr>
          <w:rFonts w:ascii="Arial" w:hAnsi="Arial"/>
          <w:b w:val="0"/>
          <w:i w:val="0"/>
          <w:sz w:val="20"/>
        </w:rPr>
        <w:t>: the clause with the most exposure. What the Supplier warrants about third-party data rights, and what happens if a provider later restricts sharing, both need the solicitor's wording. The written confirmations from OAG and Sabre are not yet in hand; the record of the verbal confirmations stands in until they arrive.</w:t>
      </w:r>
    </w:p>
    <w:p>
      <w:pPr>
        <w:spacing w:before="200" w:after="60"/>
      </w:pPr>
      <w:r>
        <w:rPr>
          <w:rFonts w:ascii="Arial" w:hAnsi="Arial"/>
          <w:b/>
          <w:i w:val="0"/>
          <w:sz w:val="22"/>
        </w:rPr>
        <w:t>8. What the forecast is, and what it is not</w:t>
      </w:r>
    </w:p>
    <w:p>
      <w:pPr>
        <w:spacing w:after="120"/>
      </w:pPr>
      <w:r>
        <w:rPr>
          <w:rFonts w:ascii="Arial" w:hAnsi="Arial"/>
          <w:b w:val="0"/>
          <w:i w:val="0"/>
          <w:sz w:val="20"/>
        </w:rPr>
        <w:t>Meridian builds a forecast step by step from measured demand, and every forecast carries its own calibrated range. On the calibration record behind it: calibrated leads are within 20% of the outcome 89% of the time and within 10% 82% of the time, on 2,915 real launches; blind results are reported as portfolios only, never as a single route.</w:t>
      </w:r>
    </w:p>
    <w:p>
      <w:pPr>
        <w:spacing w:after="120"/>
      </w:pPr>
      <w:r>
        <w:rPr>
          <w:rFonts w:ascii="Arial" w:hAnsi="Arial"/>
          <w:b w:val="0"/>
          <w:i w:val="0"/>
          <w:sz w:val="20"/>
        </w:rPr>
        <w:t>The aircraft economics outputs carry the Supplier's standard disclaimer, which reads as it reads in the tool:</w:t>
      </w:r>
    </w:p>
    <w:p>
      <w:pPr>
        <w:spacing w:after="80"/>
        <w:ind w:left="454"/>
      </w:pPr>
      <w:r>
        <w:rPr>
          <w:rFonts w:ascii="Arial" w:hAnsi="Arial"/>
          <w:b w:val="0"/>
          <w:i/>
          <w:color w:val="595959"/>
          <w:sz w:val="17"/>
        </w:rPr>
        <w:t>These aircraft economics outputs are indicative and intended for directional planning and</w:t>
      </w:r>
    </w:p>
    <w:p>
      <w:pPr>
        <w:spacing w:after="80"/>
        <w:ind w:left="454"/>
      </w:pPr>
      <w:r>
        <w:rPr>
          <w:rFonts w:ascii="Arial" w:hAnsi="Arial"/>
          <w:b w:val="0"/>
          <w:i/>
          <w:color w:val="595959"/>
          <w:sz w:val="17"/>
        </w:rPr>
        <w:t>comparison only. They are not a statement of the actual cost or profitability of any specific</w:t>
      </w:r>
    </w:p>
    <w:p>
      <w:pPr>
        <w:spacing w:after="80"/>
        <w:ind w:left="454"/>
      </w:pPr>
      <w:r>
        <w:rPr>
          <w:rFonts w:ascii="Arial" w:hAnsi="Arial"/>
          <w:b w:val="0"/>
          <w:i/>
          <w:color w:val="595959"/>
          <w:sz w:val="17"/>
        </w:rPr>
        <w:t>airline, aircraft or route. The figures are built from generic and published industry</w:t>
      </w:r>
    </w:p>
    <w:p>
      <w:pPr>
        <w:spacing w:after="80"/>
        <w:ind w:left="454"/>
      </w:pPr>
      <w:r>
        <w:rPr>
          <w:rFonts w:ascii="Arial" w:hAnsi="Arial"/>
          <w:b w:val="0"/>
          <w:i/>
          <w:color w:val="595959"/>
          <w:sz w:val="17"/>
        </w:rPr>
        <w:t>assumptions, including appraiser lease rates and values, OEM-indicative maintenance reserves,</w:t>
      </w:r>
    </w:p>
    <w:p>
      <w:pPr>
        <w:spacing w:after="80"/>
        <w:ind w:left="454"/>
      </w:pPr>
      <w:r>
        <w:rPr>
          <w:rFonts w:ascii="Arial" w:hAnsi="Arial"/>
          <w:b w:val="0"/>
          <w:i/>
          <w:color w:val="595959"/>
          <w:sz w:val="17"/>
        </w:rPr>
        <w:t>standardised utilisation by airline business model, and published or benchmark airport and air</w:t>
      </w:r>
    </w:p>
    <w:p>
      <w:pPr>
        <w:spacing w:after="80"/>
        <w:ind w:left="454"/>
      </w:pPr>
      <w:r>
        <w:rPr>
          <w:rFonts w:ascii="Arial" w:hAnsi="Arial"/>
          <w:b w:val="0"/>
          <w:i/>
          <w:color w:val="595959"/>
          <w:sz w:val="17"/>
        </w:rPr>
        <w:t>navigation charges. They do not reflect any individual operator's cabin configuration (LOPA),</w:t>
      </w:r>
    </w:p>
    <w:p>
      <w:pPr>
        <w:spacing w:after="80"/>
        <w:ind w:left="454"/>
      </w:pPr>
      <w:r>
        <w:rPr>
          <w:rFonts w:ascii="Arial" w:hAnsi="Arial"/>
          <w:b w:val="0"/>
          <w:i/>
          <w:color w:val="595959"/>
          <w:sz w:val="17"/>
        </w:rPr>
        <w:t>specific weight variant (MTOW), negotiated aircraft acquisition or lease terms, fuel hedging</w:t>
      </w:r>
    </w:p>
    <w:p>
      <w:pPr>
        <w:spacing w:after="80"/>
        <w:ind w:left="454"/>
      </w:pPr>
      <w:r>
        <w:rPr>
          <w:rFonts w:ascii="Arial" w:hAnsi="Arial"/>
          <w:b w:val="0"/>
          <w:i/>
          <w:color w:val="595959"/>
          <w:sz w:val="17"/>
        </w:rPr>
        <w:t>position, maintenance or component support agreements, crew costs, overhead structure,</w:t>
      </w:r>
    </w:p>
    <w:p>
      <w:pPr>
        <w:spacing w:after="80"/>
        <w:ind w:left="454"/>
      </w:pPr>
      <w:r>
        <w:rPr>
          <w:rFonts w:ascii="Arial" w:hAnsi="Arial"/>
          <w:b w:val="0"/>
          <w:i/>
          <w:color w:val="595959"/>
          <w:sz w:val="17"/>
        </w:rPr>
        <w:t>ancillary revenue or internal accounting policies. Actual results will differ, in some cases</w:t>
      </w:r>
    </w:p>
    <w:p>
      <w:pPr>
        <w:spacing w:after="80"/>
        <w:ind w:left="454"/>
      </w:pPr>
      <w:r>
        <w:rPr>
          <w:rFonts w:ascii="Arial" w:hAnsi="Arial"/>
          <w:b w:val="0"/>
          <w:i/>
          <w:color w:val="595959"/>
          <w:sz w:val="17"/>
        </w:rPr>
        <w:t>materially. These outputs should not be relied upon as a forecast of any particular operator's</w:t>
      </w:r>
    </w:p>
    <w:p>
      <w:pPr>
        <w:spacing w:after="80"/>
        <w:ind w:left="454"/>
      </w:pPr>
      <w:r>
        <w:rPr>
          <w:rFonts w:ascii="Arial" w:hAnsi="Arial"/>
          <w:b w:val="0"/>
          <w:i/>
          <w:color w:val="595959"/>
          <w:sz w:val="17"/>
        </w:rPr>
        <w:t>results, and Avia Solutions accepts no liability for any decision taken on the basis of them.</w:t>
      </w:r>
    </w:p>
    <w:p>
      <w:pPr>
        <w:spacing w:before="200" w:after="60"/>
      </w:pPr>
      <w:r>
        <w:rPr>
          <w:rFonts w:ascii="Arial" w:hAnsi="Arial"/>
          <w:b/>
          <w:i w:val="0"/>
          <w:sz w:val="22"/>
        </w:rPr>
        <w:t>9. Liability</w:t>
      </w:r>
    </w:p>
    <w:p>
      <w:pPr>
        <w:spacing w:after="120"/>
      </w:pPr>
      <w:r>
        <w:rPr>
          <w:rFonts w:ascii="Arial" w:hAnsi="Arial"/>
          <w:b w:val="0"/>
          <w:i w:val="0"/>
          <w:sz w:val="20"/>
        </w:rPr>
        <w:t>The Supplier accepts no liability for any decision the Client takes on the basis of any output of Meridian.</w:t>
      </w:r>
    </w:p>
    <w:p>
      <w:pPr>
        <w:spacing w:after="120"/>
      </w:pPr>
      <w:r>
        <w:rPr>
          <w:rFonts w:ascii="Arial" w:hAnsi="Arial"/>
          <w:b/>
          <w:i w:val="0"/>
          <w:sz w:val="20"/>
        </w:rPr>
        <w:t>LAWYER 6</w:t>
      </w:r>
      <w:r>
        <w:rPr>
          <w:rFonts w:ascii="Arial" w:hAnsi="Arial"/>
          <w:b w:val="0"/>
          <w:i w:val="0"/>
          <w:sz w:val="20"/>
        </w:rPr>
        <w:t>: the cap and the carve-outs are the solicitor's. Avia's instruction is that liability is capped at the fees paid in the twelve months before the claim, with the usual exclusions that cannot be limited.</w:t>
      </w:r>
    </w:p>
    <w:p>
      <w:pPr>
        <w:spacing w:before="200" w:after="60"/>
      </w:pPr>
      <w:r>
        <w:rPr>
          <w:rFonts w:ascii="Arial" w:hAnsi="Arial"/>
          <w:b/>
          <w:i w:val="0"/>
          <w:sz w:val="22"/>
        </w:rPr>
        <w:t>10. Data handling</w:t>
      </w:r>
    </w:p>
    <w:p>
      <w:pPr>
        <w:spacing w:after="120"/>
      </w:pPr>
      <w:r>
        <w:rPr>
          <w:rFonts w:ascii="Arial" w:hAnsi="Arial"/>
          <w:b w:val="0"/>
          <w:i w:val="0"/>
          <w:sz w:val="20"/>
        </w:rPr>
        <w:t>The Supplier stores no Client data. It stores the outputs Meridian generates, the routes run and the identity of the named user who ran them, on the Supplier's own infrastructure, for support and for improving the product.</w:t>
      </w:r>
    </w:p>
    <w:p>
      <w:pPr>
        <w:spacing w:after="120"/>
      </w:pPr>
      <w:r>
        <w:rPr>
          <w:rFonts w:ascii="Arial" w:hAnsi="Arial"/>
          <w:b/>
          <w:i w:val="0"/>
          <w:sz w:val="20"/>
        </w:rPr>
        <w:t>LAWYER 7</w:t>
      </w:r>
      <w:r>
        <w:rPr>
          <w:rFonts w:ascii="Arial" w:hAnsi="Arial"/>
          <w:b w:val="0"/>
          <w:i w:val="0"/>
          <w:sz w:val="20"/>
        </w:rPr>
        <w:t>: the named users are identified people, so this needs the privacy wording and a view on whether a data processing agreement is required. Avia's instruction is that nothing goes to a third party.</w:t>
      </w:r>
    </w:p>
    <w:p>
      <w:pPr>
        <w:spacing w:before="200" w:after="60"/>
      </w:pPr>
      <w:r>
        <w:rPr>
          <w:rFonts w:ascii="Arial" w:hAnsi="Arial"/>
          <w:b/>
          <w:i w:val="0"/>
          <w:sz w:val="22"/>
        </w:rPr>
        <w:t>11. Support</w:t>
      </w:r>
    </w:p>
    <w:p>
      <w:pPr>
        <w:spacing w:after="120"/>
      </w:pPr>
      <w:r>
        <w:rPr>
          <w:rFonts w:ascii="Arial" w:hAnsi="Arial"/>
          <w:b w:val="0"/>
          <w:i w:val="0"/>
          <w:sz w:val="20"/>
        </w:rPr>
        <w:t xml:space="preserve">The Client raises support at </w:t>
      </w:r>
      <w:r>
        <w:rPr>
          <w:rFonts w:ascii="Arial" w:hAnsi="Arial"/>
          <w:b/>
          <w:i w:val="0"/>
          <w:sz w:val="20"/>
        </w:rPr>
        <w:t>SLOT 13</w:t>
      </w:r>
      <w:r>
        <w:rPr>
          <w:rFonts w:ascii="Arial" w:hAnsi="Arial"/>
          <w:b w:val="0"/>
          <w:i w:val="0"/>
          <w:sz w:val="20"/>
        </w:rPr>
        <w:t xml:space="preserve"> (support address; fallback: a named address on aviationobservatory.com, once the mailbox exists), which </w:t>
      </w:r>
      <w:r>
        <w:rPr>
          <w:rFonts w:ascii="Arial" w:hAnsi="Arial"/>
          <w:b/>
          <w:i w:val="0"/>
          <w:sz w:val="20"/>
        </w:rPr>
        <w:t>SLOT 14</w:t>
      </w:r>
      <w:r>
        <w:rPr>
          <w:rFonts w:ascii="Arial" w:hAnsi="Arial"/>
          <w:b w:val="0"/>
          <w:i w:val="0"/>
          <w:sz w:val="20"/>
        </w:rPr>
        <w:t xml:space="preserve"> (named person; fallback: none, the promise is worth nothing without a name) reads every working day. The Supplier responds within </w:t>
      </w:r>
      <w:r>
        <w:rPr>
          <w:rFonts w:ascii="Arial" w:hAnsi="Arial"/>
          <w:b/>
          <w:i w:val="0"/>
          <w:sz w:val="20"/>
        </w:rPr>
        <w:t>SLOT 15</w:t>
      </w:r>
      <w:r>
        <w:rPr>
          <w:rFonts w:ascii="Arial" w:hAnsi="Arial"/>
          <w:b w:val="0"/>
          <w:i w:val="0"/>
          <w:sz w:val="20"/>
        </w:rPr>
        <w:t xml:space="preserve"> (response time; fallback: one working day, which is what one named reader can honestly promise).</w:t>
      </w:r>
    </w:p>
    <w:p>
      <w:pPr>
        <w:spacing w:before="200" w:after="60"/>
      </w:pPr>
      <w:r>
        <w:rPr>
          <w:rFonts w:ascii="Arial" w:hAnsi="Arial"/>
          <w:b/>
          <w:i w:val="0"/>
          <w:sz w:val="22"/>
        </w:rPr>
        <w:t>12. Known issues</w:t>
      </w:r>
    </w:p>
    <w:p>
      <w:pPr>
        <w:spacing w:after="120"/>
      </w:pPr>
      <w:r>
        <w:rPr>
          <w:rFonts w:ascii="Arial" w:hAnsi="Arial"/>
          <w:b w:val="0"/>
          <w:i w:val="0"/>
          <w:sz w:val="20"/>
        </w:rPr>
        <w:t>The Supplier gives the Client the current known-issues list at onboarding and tells the Client when it changes materially during the term.</w:t>
      </w:r>
    </w:p>
    <w:p>
      <w:pPr>
        <w:spacing w:before="200" w:after="60"/>
      </w:pPr>
      <w:r>
        <w:rPr>
          <w:rFonts w:ascii="Arial" w:hAnsi="Arial"/>
          <w:b/>
          <w:i w:val="0"/>
          <w:sz w:val="22"/>
        </w:rPr>
        <w:t>13. Termination</w:t>
      </w:r>
    </w:p>
    <w:p>
      <w:pPr>
        <w:spacing w:after="120"/>
      </w:pPr>
      <w:r>
        <w:rPr>
          <w:rFonts w:ascii="Arial" w:hAnsi="Arial"/>
          <w:b/>
          <w:i w:val="0"/>
          <w:sz w:val="20"/>
        </w:rPr>
        <w:t>LAWYER 8</w:t>
      </w:r>
      <w:r>
        <w:rPr>
          <w:rFonts w:ascii="Arial" w:hAnsi="Arial"/>
          <w:b w:val="0"/>
          <w:i w:val="0"/>
          <w:sz w:val="20"/>
        </w:rPr>
        <w:t>: termination for material breach and for insolvency, what happens to fees already paid, and what the Client may keep and use after the term ends. Avia's instruction is that outputs already generated remain the Client's to use under clause 7.</w:t>
      </w:r>
    </w:p>
    <w:p>
      <w:pPr>
        <w:spacing w:before="200" w:after="60"/>
      </w:pPr>
      <w:r>
        <w:rPr>
          <w:rFonts w:ascii="Arial" w:hAnsi="Arial"/>
          <w:b/>
          <w:i w:val="0"/>
          <w:sz w:val="22"/>
        </w:rPr>
        <w:t>14. Governing law</w:t>
      </w:r>
    </w:p>
    <w:p>
      <w:pPr>
        <w:spacing w:after="120"/>
      </w:pPr>
      <w:r>
        <w:rPr>
          <w:rFonts w:ascii="Arial" w:hAnsi="Arial"/>
          <w:b w:val="0"/>
          <w:i w:val="0"/>
          <w:sz w:val="20"/>
        </w:rPr>
        <w:t>This agreement is governed by the law of England and Wales, and the courts of England and Wales have exclusive jurisdiction.</w:t>
      </w:r>
    </w:p>
    <w:p>
      <w:pPr>
        <w:spacing w:before="200" w:after="60"/>
      </w:pPr>
      <w:r>
        <w:rPr>
          <w:rFonts w:ascii="Arial" w:hAnsi="Arial"/>
          <w:b/>
          <w:i w:val="0"/>
          <w:sz w:val="22"/>
        </w:rPr>
        <w:t>Points for the solicitor, in one list</w:t>
      </w:r>
    </w:p>
    <w:p>
      <w:pPr>
        <w:pStyle w:val="ListNumber"/>
        <w:spacing w:after="40"/>
      </w:pPr>
      <w:r>
        <w:rPr>
          <w:rFonts w:ascii="Arial" w:hAnsi="Arial"/>
          <w:b w:val="0"/>
          <w:i w:val="0"/>
          <w:sz w:val="20"/>
        </w:rPr>
        <w:t>Seat reassignment and sharing (clause 2).</w:t>
      </w:r>
    </w:p>
    <w:p>
      <w:pPr>
        <w:pStyle w:val="ListNumber"/>
        <w:spacing w:after="40"/>
      </w:pPr>
      <w:r>
        <w:rPr>
          <w:rFonts w:ascii="Arial" w:hAnsi="Arial"/>
          <w:b w:val="0"/>
          <w:i w:val="0"/>
          <w:sz w:val="20"/>
        </w:rPr>
        <w:t>Renewal and notice, no automatic renewal in year 1 (clause 3).</w:t>
      </w:r>
    </w:p>
    <w:p>
      <w:pPr>
        <w:pStyle w:val="ListNumber"/>
        <w:spacing w:after="40"/>
      </w:pPr>
      <w:r>
        <w:rPr>
          <w:rFonts w:ascii="Arial" w:hAnsi="Arial"/>
          <w:b w:val="0"/>
          <w:i w:val="0"/>
          <w:sz w:val="20"/>
        </w:rPr>
        <w:t>Late payment interest and suspension for non-payment (clause 4).</w:t>
      </w:r>
    </w:p>
    <w:p>
      <w:pPr>
        <w:pStyle w:val="ListNumber"/>
        <w:spacing w:after="40"/>
      </w:pPr>
      <w:r>
        <w:rPr>
          <w:rFonts w:ascii="Arial" w:hAnsi="Arial"/>
          <w:b w:val="0"/>
          <w:i w:val="0"/>
          <w:sz w:val="20"/>
        </w:rPr>
        <w:t>A reference obligation that binds only where the Client is satisfied (clause 6).</w:t>
      </w:r>
    </w:p>
    <w:p>
      <w:pPr>
        <w:pStyle w:val="ListNumber"/>
        <w:spacing w:after="40"/>
      </w:pPr>
      <w:r>
        <w:rPr>
          <w:rFonts w:ascii="Arial" w:hAnsi="Arial"/>
          <w:b w:val="0"/>
          <w:i w:val="0"/>
          <w:sz w:val="20"/>
        </w:rPr>
        <w:t>Third-party data warranties, and the position if OAG or Sabre later restricts sharing (clause 7). The largest exposure in the document.</w:t>
      </w:r>
    </w:p>
    <w:p>
      <w:pPr>
        <w:pStyle w:val="ListNumber"/>
        <w:spacing w:after="40"/>
      </w:pPr>
      <w:r>
        <w:rPr>
          <w:rFonts w:ascii="Arial" w:hAnsi="Arial"/>
          <w:b w:val="0"/>
          <w:i w:val="0"/>
          <w:sz w:val="20"/>
        </w:rPr>
        <w:t>Liability cap and the exclusions that cannot be limited (clause 9).</w:t>
      </w:r>
    </w:p>
    <w:p>
      <w:pPr>
        <w:pStyle w:val="ListNumber"/>
        <w:spacing w:after="40"/>
      </w:pPr>
      <w:r>
        <w:rPr>
          <w:rFonts w:ascii="Arial" w:hAnsi="Arial"/>
          <w:b w:val="0"/>
          <w:i w:val="0"/>
          <w:sz w:val="20"/>
        </w:rPr>
        <w:t>Privacy wording for the named users, and whether a data processing agreement is needed (clause 10).</w:t>
      </w:r>
    </w:p>
    <w:p>
      <w:pPr>
        <w:pStyle w:val="ListNumber"/>
        <w:spacing w:after="40"/>
      </w:pPr>
      <w:r>
        <w:rPr>
          <w:rFonts w:ascii="Arial" w:hAnsi="Arial"/>
          <w:b w:val="0"/>
          <w:i w:val="0"/>
          <w:sz w:val="20"/>
        </w:rPr>
        <w:t>Termination, and what survives it (clause 13).</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595959"/>
        <w:sz w:val="16"/>
      </w:rPr>
      <w:t xml:space="preserve">- DRAFT -   </w:t>
    </w:r>
    <w:r>
      <w:rPr>
        <w:rFonts w:ascii="Arial" w:hAnsi="Arial"/>
        <w:b w:val="0"/>
        <w:i w:val="0"/>
        <w:color w:val="595959"/>
        <w:sz w:val="16"/>
      </w:rPr>
      <w:t xml:space="preserve">P: </w:t>
    </w:r>
    <w:r>
      <w:rPr>
        <w:rFonts w:ascii="Arial" w:hAnsi="Arial"/>
        <w:color w:val="595959"/>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licence agreement, draft v0.1</dc:title>
  <dc:subject/>
  <dc:creator>Avia Solutions</dc:creator>
  <cp:keywords/>
  <dc:description>DRAFT for legal review, not for issue to a client</dc:description>
  <cp:lastModifiedBy>Avia Solutions</cp:lastModifiedBy>
  <cp:revision>1</cp:revision>
  <dcterms:created xsi:type="dcterms:W3CDTF">2013-12-23T23:15:00Z</dcterms:created>
  <dcterms:modified xsi:type="dcterms:W3CDTF">2013-12-23T23:15:00Z</dcterms:modified>
  <cp:category>Meridian, World Routes 2026</cp:category>
</cp:coreProperties>
</file>