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Arial" w:hAnsi="Arial"/>
          <w:b/>
          <w:i w:val="0"/>
          <w:sz w:val="32"/>
        </w:rPr>
        <w:t>Meridian launch customer offer: one-pager draft</w:t>
      </w:r>
    </w:p>
    <w:p>
      <w:pPr>
        <w:spacing w:after="120"/>
      </w:pPr>
      <w:r>
        <w:rPr>
          <w:rFonts w:ascii="Arial" w:hAnsi="Arial"/>
          <w:b w:val="0"/>
          <w:i w:val="0"/>
          <w:sz w:val="20"/>
        </w:rPr>
        <w:t>Draft v0.2, 20 September 2026. Written by W5 for John Carter, to W5-RULINGS.md v2. Printed for the five Routes meetings and handed to any qualified buyer who asks; it also goes out in the 48-hour follow-up. Commercial in confidence.</w:t>
      </w:r>
    </w:p>
    <w:p>
      <w:pPr>
        <w:spacing w:before="200" w:after="60"/>
      </w:pPr>
      <w:r>
        <w:rPr>
          <w:rFonts w:ascii="Arial" w:hAnsi="Arial"/>
          <w:b/>
          <w:i w:val="0"/>
          <w:sz w:val="22"/>
        </w:rPr>
        <w:t>Meridian: launch clients pay half list in year one</w:t>
      </w:r>
    </w:p>
    <w:p>
      <w:pPr>
        <w:spacing w:after="120"/>
      </w:pPr>
      <w:r>
        <w:rPr>
          <w:rFonts w:ascii="Arial" w:hAnsi="Arial"/>
          <w:b w:val="0"/>
          <w:i w:val="0"/>
          <w:sz w:val="20"/>
        </w:rPr>
        <w:t>Meridian is the route forecasting tool published by The Aviation Observatory. It builds a forecast route by route from measured demand, optimises the time of day, and produces the presentation you would otherwise commission. Calibrated leads are within 20% of the outcome 89% of the time and within 10% 82% of the time, on 2,915 real launches; blind results are reported as portfolios only, never as a single route.</w:t>
      </w:r>
    </w:p>
    <w:p>
      <w:pPr>
        <w:spacing w:after="120"/>
      </w:pPr>
      <w:r>
        <w:rPr>
          <w:rFonts w:ascii="Arial" w:hAnsi="Arial"/>
          <w:b w:val="0"/>
          <w:i w:val="0"/>
          <w:sz w:val="20"/>
        </w:rPr>
        <w:t>Launch clients who sign by 30 November 2026 pay half our list price in year one, and a stated share of list in years two and three. The prices below are fixed in pounds at signature.</w:t>
      </w:r>
    </w:p>
    <w:p>
      <w:pPr>
        <w:spacing w:after="120"/>
      </w:pPr>
      <w:r>
        <w:rPr>
          <w:rFonts w:ascii="Arial" w:hAnsi="Arial"/>
          <w:b/>
          <w:i w:val="0"/>
          <w:sz w:val="20"/>
        </w:rPr>
        <w:t>SLOT A</w:t>
      </w:r>
      <w:r>
        <w:rPr>
          <w:rFonts w:ascii="Arial" w:hAnsi="Arial"/>
          <w:b w:val="0"/>
          <w:i w:val="0"/>
          <w:sz w:val="20"/>
        </w:rPr>
        <w:t>: the Meridian route study. One route, the researched pack, priced per route and invoiced on delivery, with no licence. It leads this page once John prices it.</w:t>
      </w:r>
    </w:p>
    <w:p>
      <w:pPr>
        <w:spacing w:before="160" w:after="40"/>
      </w:pPr>
      <w:r>
        <w:rPr>
          <w:rFonts w:ascii="Arial" w:hAnsi="Arial"/>
          <w:b/>
          <w:i w:val="0"/>
          <w:sz w:val="20"/>
        </w:rPr>
        <w:t>What you pay</w:t>
      </w:r>
    </w:p>
    <w:p>
      <w:pPr>
        <w:spacing w:after="120"/>
      </w:pPr>
      <w:r>
        <w:rPr>
          <w:rFonts w:ascii="Arial" w:hAnsi="Arial"/>
          <w:b w:val="0"/>
          <w:i w:val="0"/>
          <w:sz w:val="20"/>
        </w:rPr>
        <w:t>Your band is set from your published passenger numbers and agreed in the quotation. Your own band is the only one that appears in your agreement.</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928"/>
          </w:tcPr>
          <w:p>
            <w:r>
              <w:rPr>
                <w:rFonts w:ascii="Arial" w:hAnsi="Arial"/>
                <w:b/>
                <w:i w:val="0"/>
                <w:sz w:val="20"/>
              </w:rPr>
              <w:t>Airport band</w:t>
            </w:r>
          </w:p>
        </w:tc>
        <w:tc>
          <w:tcPr>
            <w:tcW w:type="dxa" w:w="1928"/>
          </w:tcPr>
          <w:p>
            <w:r>
              <w:rPr>
                <w:rFonts w:ascii="Arial" w:hAnsi="Arial"/>
                <w:b/>
                <w:i w:val="0"/>
                <w:sz w:val="20"/>
              </w:rPr>
              <w:t>Year 1</w:t>
            </w:r>
          </w:p>
        </w:tc>
        <w:tc>
          <w:tcPr>
            <w:tcW w:type="dxa" w:w="1928"/>
          </w:tcPr>
          <w:p>
            <w:r>
              <w:rPr>
                <w:rFonts w:ascii="Arial" w:hAnsi="Arial"/>
                <w:b/>
                <w:i w:val="0"/>
                <w:sz w:val="20"/>
              </w:rPr>
              <w:t>Year 2</w:t>
            </w:r>
          </w:p>
        </w:tc>
        <w:tc>
          <w:tcPr>
            <w:tcW w:type="dxa" w:w="1928"/>
          </w:tcPr>
          <w:p>
            <w:r>
              <w:rPr>
                <w:rFonts w:ascii="Arial" w:hAnsi="Arial"/>
                <w:b/>
                <w:i w:val="0"/>
                <w:sz w:val="20"/>
              </w:rPr>
              <w:t>Year 3</w:t>
            </w:r>
          </w:p>
        </w:tc>
        <w:tc>
          <w:tcPr>
            <w:tcW w:type="dxa" w:w="1928"/>
          </w:tcPr>
          <w:p>
            <w:r>
              <w:rPr>
                <w:rFonts w:ascii="Arial" w:hAnsi="Arial"/>
                <w:b/>
                <w:i w:val="0"/>
                <w:sz w:val="20"/>
              </w:rPr>
              <w:t>Year 4 onward</w:t>
            </w:r>
          </w:p>
        </w:tc>
      </w:tr>
      <w:tr>
        <w:tc>
          <w:tcPr>
            <w:tcW w:type="dxa" w:w="1928"/>
          </w:tcPr>
          <w:p>
            <w:r>
              <w:rPr>
                <w:rFonts w:ascii="Arial" w:hAnsi="Arial"/>
                <w:b w:val="0"/>
                <w:i w:val="0"/>
                <w:sz w:val="20"/>
              </w:rPr>
              <w:t>Small (list £15,000)</w:t>
            </w:r>
          </w:p>
        </w:tc>
        <w:tc>
          <w:tcPr>
            <w:tcW w:type="dxa" w:w="1928"/>
          </w:tcPr>
          <w:p>
            <w:r>
              <w:rPr>
                <w:rFonts w:ascii="Arial" w:hAnsi="Arial"/>
                <w:b w:val="0"/>
                <w:i w:val="0"/>
                <w:sz w:val="20"/>
              </w:rPr>
              <w:t>£7,500</w:t>
            </w:r>
          </w:p>
        </w:tc>
        <w:tc>
          <w:tcPr>
            <w:tcW w:type="dxa" w:w="1928"/>
          </w:tcPr>
          <w:p>
            <w:r>
              <w:rPr>
                <w:rFonts w:ascii="Arial" w:hAnsi="Arial"/>
                <w:b w:val="0"/>
                <w:i w:val="0"/>
                <w:sz w:val="20"/>
              </w:rPr>
              <w:t>£11,600</w:t>
            </w:r>
          </w:p>
        </w:tc>
        <w:tc>
          <w:tcPr>
            <w:tcW w:type="dxa" w:w="1928"/>
          </w:tcPr>
          <w:p>
            <w:r>
              <w:rPr>
                <w:rFonts w:ascii="Arial" w:hAnsi="Arial"/>
                <w:b w:val="0"/>
                <w:i w:val="0"/>
                <w:sz w:val="20"/>
              </w:rPr>
              <w:t>£13,550</w:t>
            </w:r>
          </w:p>
        </w:tc>
        <w:tc>
          <w:tcPr>
            <w:tcW w:type="dxa" w:w="1928"/>
          </w:tcPr>
          <w:p>
            <w:r>
              <w:rPr>
                <w:rFonts w:ascii="Arial" w:hAnsi="Arial"/>
                <w:b w:val="0"/>
                <w:i w:val="0"/>
                <w:sz w:val="20"/>
              </w:rPr>
              <w:t>our published list</w:t>
            </w:r>
          </w:p>
        </w:tc>
      </w:tr>
      <w:tr>
        <w:tc>
          <w:tcPr>
            <w:tcW w:type="dxa" w:w="1928"/>
          </w:tcPr>
          <w:p>
            <w:r>
              <w:rPr>
                <w:rFonts w:ascii="Arial" w:hAnsi="Arial"/>
                <w:b w:val="0"/>
                <w:i w:val="0"/>
                <w:sz w:val="20"/>
              </w:rPr>
              <w:t>Medium (list £20,000)</w:t>
            </w:r>
          </w:p>
        </w:tc>
        <w:tc>
          <w:tcPr>
            <w:tcW w:type="dxa" w:w="1928"/>
          </w:tcPr>
          <w:p>
            <w:r>
              <w:rPr>
                <w:rFonts w:ascii="Arial" w:hAnsi="Arial"/>
                <w:b w:val="0"/>
                <w:i w:val="0"/>
                <w:sz w:val="20"/>
              </w:rPr>
              <w:t>£10,000</w:t>
            </w:r>
          </w:p>
        </w:tc>
        <w:tc>
          <w:tcPr>
            <w:tcW w:type="dxa" w:w="1928"/>
          </w:tcPr>
          <w:p>
            <w:r>
              <w:rPr>
                <w:rFonts w:ascii="Arial" w:hAnsi="Arial"/>
                <w:b w:val="0"/>
                <w:i w:val="0"/>
                <w:sz w:val="20"/>
              </w:rPr>
              <w:t>£15,450</w:t>
            </w:r>
          </w:p>
        </w:tc>
        <w:tc>
          <w:tcPr>
            <w:tcW w:type="dxa" w:w="1928"/>
          </w:tcPr>
          <w:p>
            <w:r>
              <w:rPr>
                <w:rFonts w:ascii="Arial" w:hAnsi="Arial"/>
                <w:b w:val="0"/>
                <w:i w:val="0"/>
                <w:sz w:val="20"/>
              </w:rPr>
              <w:t>£18,050</w:t>
            </w:r>
          </w:p>
        </w:tc>
        <w:tc>
          <w:tcPr>
            <w:tcW w:type="dxa" w:w="1928"/>
          </w:tcPr>
          <w:p>
            <w:r>
              <w:rPr>
                <w:rFonts w:ascii="Arial" w:hAnsi="Arial"/>
                <w:b w:val="0"/>
                <w:i w:val="0"/>
                <w:sz w:val="20"/>
              </w:rPr>
              <w:t>our published list</w:t>
            </w:r>
          </w:p>
        </w:tc>
      </w:tr>
      <w:tr>
        <w:tc>
          <w:tcPr>
            <w:tcW w:type="dxa" w:w="1928"/>
          </w:tcPr>
          <w:p>
            <w:r>
              <w:rPr>
                <w:rFonts w:ascii="Arial" w:hAnsi="Arial"/>
                <w:b w:val="0"/>
                <w:i w:val="0"/>
                <w:sz w:val="20"/>
              </w:rPr>
              <w:t>Large (list £25,000)</w:t>
            </w:r>
          </w:p>
        </w:tc>
        <w:tc>
          <w:tcPr>
            <w:tcW w:type="dxa" w:w="1928"/>
          </w:tcPr>
          <w:p>
            <w:r>
              <w:rPr>
                <w:rFonts w:ascii="Arial" w:hAnsi="Arial"/>
                <w:b w:val="0"/>
                <w:i w:val="0"/>
                <w:sz w:val="20"/>
              </w:rPr>
              <w:t>£12,500</w:t>
            </w:r>
          </w:p>
        </w:tc>
        <w:tc>
          <w:tcPr>
            <w:tcW w:type="dxa" w:w="1928"/>
          </w:tcPr>
          <w:p>
            <w:r>
              <w:rPr>
                <w:rFonts w:ascii="Arial" w:hAnsi="Arial"/>
                <w:b w:val="0"/>
                <w:i w:val="0"/>
                <w:sz w:val="20"/>
              </w:rPr>
              <w:t>£19,300</w:t>
            </w:r>
          </w:p>
        </w:tc>
        <w:tc>
          <w:tcPr>
            <w:tcW w:type="dxa" w:w="1928"/>
          </w:tcPr>
          <w:p>
            <w:r>
              <w:rPr>
                <w:rFonts w:ascii="Arial" w:hAnsi="Arial"/>
                <w:b w:val="0"/>
                <w:i w:val="0"/>
                <w:sz w:val="20"/>
              </w:rPr>
              <w:t>£22,550</w:t>
            </w:r>
          </w:p>
        </w:tc>
        <w:tc>
          <w:tcPr>
            <w:tcW w:type="dxa" w:w="1928"/>
          </w:tcPr>
          <w:p>
            <w:r>
              <w:rPr>
                <w:rFonts w:ascii="Arial" w:hAnsi="Arial"/>
                <w:b w:val="0"/>
                <w:i w:val="0"/>
                <w:sz w:val="20"/>
              </w:rPr>
              <w:t>our published list</w:t>
            </w:r>
          </w:p>
        </w:tc>
      </w:tr>
    </w:tbl>
    <w:p>
      <w:pPr>
        <w:spacing w:after="120"/>
      </w:pPr>
      <w:r>
        <w:rPr>
          <w:rFonts w:ascii="Arial" w:hAnsi="Arial"/>
          <w:b w:val="0"/>
          <w:i w:val="0"/>
          <w:sz w:val="20"/>
        </w:rPr>
        <w:t>Years one, two and three are 50%, 75% and 85% of our list for each of those years, rounded to the nearest £50. They are written into your agreement as cash sums, so the step up is the deal you signed rather than a rise you are told about later. The list figures behind them assume a review of 3% a year, for illustration only: we review our list each year, and our standard prices move by at least inflation.</w:t>
      </w:r>
    </w:p>
    <w:p>
      <w:pPr>
        <w:spacing w:after="120"/>
      </w:pPr>
      <w:r>
        <w:rPr>
          <w:rFonts w:ascii="Arial" w:hAnsi="Arial"/>
          <w:b w:val="0"/>
          <w:i w:val="0"/>
          <w:sz w:val="20"/>
        </w:rPr>
        <w:t>We publish our standard prices in November 2026.</w:t>
      </w:r>
    </w:p>
    <w:p>
      <w:pPr>
        <w:spacing w:after="120"/>
      </w:pPr>
      <w:r>
        <w:rPr>
          <w:rFonts w:ascii="Arial" w:hAnsi="Arial"/>
          <w:b/>
          <w:i w:val="0"/>
          <w:sz w:val="20"/>
        </w:rPr>
        <w:t>SLOT B</w:t>
      </w:r>
      <w:r>
        <w:rPr>
          <w:rFonts w:ascii="Arial" w:hAnsi="Arial"/>
          <w:b w:val="0"/>
          <w:i w:val="0"/>
          <w:sz w:val="20"/>
        </w:rPr>
        <w:t>: the number of launch places.</w:t>
      </w:r>
    </w:p>
    <w:p>
      <w:pPr>
        <w:spacing w:before="160" w:after="40"/>
      </w:pPr>
      <w:r>
        <w:rPr>
          <w:rFonts w:ascii="Arial" w:hAnsi="Arial"/>
          <w:b/>
          <w:i w:val="0"/>
          <w:sz w:val="20"/>
        </w:rPr>
        <w:t>What you get</w:t>
      </w:r>
    </w:p>
    <w:p>
      <w:pPr>
        <w:pStyle w:val="ListBullet"/>
        <w:spacing w:after="40"/>
      </w:pPr>
      <w:r>
        <w:rPr>
          <w:rFonts w:ascii="Arial" w:hAnsi="Arial"/>
          <w:b w:val="0"/>
          <w:i w:val="0"/>
          <w:sz w:val="20"/>
        </w:rPr>
        <w:t>The full tool. Every licence is the whole product; the price steps with the size of the airport, never with features held back.</w:t>
      </w:r>
    </w:p>
    <w:p>
      <w:pPr>
        <w:pStyle w:val="ListBullet"/>
        <w:spacing w:after="40"/>
      </w:pPr>
      <w:r>
        <w:rPr>
          <w:rFonts w:ascii="Arial" w:hAnsi="Arial"/>
          <w:b w:val="0"/>
          <w:i w:val="0"/>
          <w:sz w:val="20"/>
        </w:rPr>
        <w:t>Three named seats for your route development team.</w:t>
      </w:r>
    </w:p>
    <w:p>
      <w:pPr>
        <w:pStyle w:val="ListBullet"/>
        <w:spacing w:after="40"/>
      </w:pPr>
      <w:r>
        <w:rPr>
          <w:rFonts w:ascii="Arial" w:hAnsi="Arial"/>
          <w:b w:val="0"/>
          <w:i w:val="0"/>
          <w:sz w:val="20"/>
        </w:rPr>
        <w:t>Forecasts, scenarios and exports without limit, within fair use.</w:t>
      </w:r>
    </w:p>
    <w:p>
      <w:pPr>
        <w:pStyle w:val="ListBullet"/>
        <w:spacing w:after="40"/>
      </w:pPr>
      <w:r>
        <w:rPr>
          <w:rFonts w:ascii="Arial" w:hAnsi="Arial"/>
          <w:b w:val="0"/>
          <w:i w:val="0"/>
          <w:sz w:val="20"/>
        </w:rPr>
        <w:t>100 generated presentations a year across the three seats, each one the forecast you ran.</w:t>
      </w:r>
    </w:p>
    <w:p>
      <w:pPr>
        <w:pStyle w:val="ListBullet"/>
        <w:spacing w:after="40"/>
      </w:pPr>
      <w:r>
        <w:rPr>
          <w:rFonts w:ascii="Arial" w:hAnsi="Arial"/>
          <w:b/>
          <w:i w:val="0"/>
          <w:sz w:val="20"/>
        </w:rPr>
        <w:t>SLOT C</w:t>
      </w:r>
      <w:r>
        <w:rPr>
          <w:rFonts w:ascii="Arial" w:hAnsi="Arial"/>
          <w:b w:val="0"/>
          <w:i w:val="0"/>
          <w:sz w:val="20"/>
        </w:rPr>
        <w:t>: one review call each quarter with an Avia director, on your own routes.</w:t>
      </w:r>
    </w:p>
    <w:p>
      <w:pPr>
        <w:pStyle w:val="ListBullet"/>
        <w:spacing w:after="40"/>
      </w:pPr>
      <w:r>
        <w:rPr>
          <w:rFonts w:ascii="Arial" w:hAnsi="Arial"/>
          <w:b w:val="0"/>
          <w:i w:val="0"/>
          <w:sz w:val="20"/>
        </w:rPr>
        <w:t>The known-issues list at the start, and told when it changes. You are a launch client, not a test subject.</w:t>
      </w:r>
    </w:p>
    <w:p>
      <w:pPr>
        <w:pStyle w:val="ListBullet"/>
        <w:spacing w:after="40"/>
      </w:pPr>
      <w:r>
        <w:rPr>
          <w:rFonts w:ascii="Arial" w:hAnsi="Arial"/>
          <w:b w:val="0"/>
          <w:i w:val="0"/>
          <w:sz w:val="20"/>
        </w:rPr>
        <w:t>Any further module at half its price if you adopt it in year one, or three quarters in year two: the Observatory Global Forecast, the Design Day module, and the route study.</w:t>
      </w:r>
    </w:p>
    <w:p>
      <w:pPr>
        <w:spacing w:before="160" w:after="40"/>
      </w:pPr>
      <w:r>
        <w:rPr>
          <w:rFonts w:ascii="Arial" w:hAnsi="Arial"/>
          <w:b/>
          <w:i w:val="0"/>
          <w:sz w:val="20"/>
        </w:rPr>
        <w:t>What you give</w:t>
      </w:r>
    </w:p>
    <w:p>
      <w:pPr>
        <w:pStyle w:val="ListBullet"/>
        <w:spacing w:after="40"/>
      </w:pPr>
      <w:r>
        <w:rPr>
          <w:rFonts w:ascii="Arial" w:hAnsi="Arial"/>
          <w:b w:val="0"/>
          <w:i w:val="0"/>
          <w:sz w:val="20"/>
        </w:rPr>
        <w:t>You accept that Meridian is newly launched, and work with us on the items on the known-issues list rather than treating them as failures.</w:t>
      </w:r>
    </w:p>
    <w:p>
      <w:pPr>
        <w:pStyle w:val="ListBullet"/>
        <w:spacing w:after="40"/>
      </w:pPr>
      <w:r>
        <w:rPr>
          <w:rFonts w:ascii="Arial" w:hAnsi="Arial"/>
          <w:b w:val="0"/>
          <w:i w:val="0"/>
          <w:sz w:val="20"/>
        </w:rPr>
        <w:t>You give us structured feedback once a quarter through year one.</w:t>
      </w:r>
    </w:p>
    <w:p>
      <w:pPr>
        <w:pStyle w:val="ListBullet"/>
        <w:spacing w:after="40"/>
      </w:pPr>
      <w:r>
        <w:rPr>
          <w:rFonts w:ascii="Arial" w:hAnsi="Arial"/>
          <w:b w:val="0"/>
          <w:i w:val="0"/>
          <w:sz w:val="20"/>
        </w:rPr>
        <w:t>You act as a reference, and let us use your name and brand in our marketing.</w:t>
      </w:r>
    </w:p>
    <w:p>
      <w:pPr>
        <w:pStyle w:val="ListBullet"/>
        <w:spacing w:after="40"/>
      </w:pPr>
      <w:r>
        <w:rPr>
          <w:rFonts w:ascii="Arial" w:hAnsi="Arial"/>
          <w:b w:val="0"/>
          <w:i w:val="0"/>
          <w:sz w:val="20"/>
        </w:rPr>
        <w:t>You sign by 30 November 2026.</w:t>
      </w:r>
    </w:p>
    <w:p>
      <w:pPr>
        <w:spacing w:before="160" w:after="40"/>
      </w:pPr>
      <w:r>
        <w:rPr>
          <w:rFonts w:ascii="Arial" w:hAnsi="Arial"/>
          <w:b/>
          <w:i w:val="0"/>
          <w:sz w:val="20"/>
        </w:rPr>
        <w:t>Term, renewal and what happens if we stop</w:t>
      </w:r>
    </w:p>
    <w:p>
      <w:pPr>
        <w:spacing w:after="120"/>
      </w:pPr>
      <w:r>
        <w:rPr>
          <w:rFonts w:ascii="Arial" w:hAnsi="Arial"/>
          <w:b w:val="0"/>
          <w:i w:val="0"/>
          <w:sz w:val="20"/>
        </w:rPr>
        <w:t>Twelve months from first access, renewing each year. You cancel by telling us a month before a renewal date; we write to you three months and two months before, so the date never arrives unannounced. If your procurement rules do not allow an agreement that renews itself, say so in the schedule and we renew on your written acceptance instead, at the same price.</w:t>
      </w:r>
    </w:p>
    <w:p>
      <w:pPr>
        <w:spacing w:after="120"/>
      </w:pPr>
      <w:r>
        <w:rPr>
          <w:rFonts w:ascii="Arial" w:hAnsi="Arial"/>
          <w:b w:val="0"/>
          <w:i w:val="0"/>
          <w:sz w:val="20"/>
        </w:rPr>
        <w:t xml:space="preserve">If we end or suspend the service, including because we lose access to data Meridian depends on, we give you </w:t>
      </w:r>
      <w:r>
        <w:rPr>
          <w:rFonts w:ascii="Arial" w:hAnsi="Arial"/>
          <w:b/>
          <w:i w:val="0"/>
          <w:sz w:val="20"/>
        </w:rPr>
        <w:t>SLOT D</w:t>
      </w:r>
      <w:r>
        <w:rPr>
          <w:rFonts w:ascii="Arial" w:hAnsi="Arial"/>
          <w:b w:val="0"/>
          <w:i w:val="0"/>
          <w:sz w:val="20"/>
        </w:rPr>
        <w:t xml:space="preserve"> (notice period; our draft is three months) months' notice where we can, refund the unused part of the year to the day within 30 days, and you keep every output we have already delivered.</w:t>
      </w:r>
    </w:p>
    <w:p>
      <w:pPr>
        <w:spacing w:after="120"/>
      </w:pPr>
      <w:r>
        <w:rPr>
          <w:rFonts w:ascii="Arial" w:hAnsi="Arial"/>
          <w:b w:val="0"/>
          <w:i w:val="0"/>
          <w:sz w:val="20"/>
        </w:rPr>
        <w:t>New modules come to you as priced options you may take or leave. Where we build a function into the core product, we may raise the core price at the next renewal by more than the annual review, and we tell you in the renewal notice, with your right not to renew unaffected.</w:t>
      </w:r>
    </w:p>
    <w:p>
      <w:pPr>
        <w:spacing w:before="160" w:after="40"/>
      </w:pPr>
      <w:r>
        <w:rPr>
          <w:rFonts w:ascii="Arial" w:hAnsi="Arial"/>
          <w:b/>
          <w:i w:val="0"/>
          <w:sz w:val="20"/>
        </w:rPr>
        <w:t>What is excluded</w:t>
      </w:r>
    </w:p>
    <w:p>
      <w:pPr>
        <w:pStyle w:val="ListBullet"/>
        <w:spacing w:after="40"/>
      </w:pPr>
      <w:r>
        <w:rPr>
          <w:rFonts w:ascii="Arial" w:hAnsi="Arial"/>
          <w:b w:val="0"/>
          <w:i w:val="0"/>
          <w:sz w:val="20"/>
        </w:rPr>
        <w:t xml:space="preserve">Presentations beyond the 100 included, charged for each document at </w:t>
      </w:r>
      <w:r>
        <w:rPr>
          <w:rFonts w:ascii="Arial" w:hAnsi="Arial"/>
          <w:b/>
          <w:i w:val="0"/>
          <w:sz w:val="20"/>
        </w:rPr>
        <w:t>SLOT E</w:t>
      </w:r>
      <w:r>
        <w:rPr>
          <w:rFonts w:ascii="Arial" w:hAnsi="Arial"/>
          <w:b w:val="0"/>
          <w:i w:val="0"/>
          <w:sz w:val="20"/>
        </w:rPr>
        <w:t xml:space="preserve"> (the overage rate).</w:t>
      </w:r>
    </w:p>
    <w:p>
      <w:pPr>
        <w:pStyle w:val="ListBullet"/>
        <w:spacing w:after="40"/>
      </w:pPr>
      <w:r>
        <w:rPr>
          <w:rFonts w:ascii="Arial" w:hAnsi="Arial"/>
          <w:b w:val="0"/>
          <w:i w:val="0"/>
          <w:sz w:val="20"/>
        </w:rPr>
        <w:t>Day-of-week allocation of frequency, fare in the capture score, and the economics of the newest aircraft types. All three are on the known-issues list and none is in year one.</w:t>
      </w:r>
    </w:p>
    <w:p>
      <w:pPr>
        <w:pStyle w:val="ListBullet"/>
        <w:spacing w:after="40"/>
      </w:pPr>
      <w:r>
        <w:rPr>
          <w:rFonts w:ascii="Arial" w:hAnsi="Arial"/>
          <w:b w:val="0"/>
          <w:i w:val="0"/>
          <w:sz w:val="20"/>
        </w:rPr>
        <w:t>Liability for decisions you take on our outputs. The aircraft economics outputs are indicative and built on generic published assumptions, not on any airline's actual costs.</w:t>
      </w:r>
    </w:p>
    <w:p>
      <w:pPr>
        <w:pStyle w:val="ListBullet"/>
        <w:spacing w:after="40"/>
      </w:pPr>
      <w:r>
        <w:rPr>
          <w:rFonts w:ascii="Arial" w:hAnsi="Arial"/>
          <w:b w:val="0"/>
          <w:i w:val="0"/>
          <w:sz w:val="20"/>
        </w:rPr>
        <w:t>Data. You receive outputs, and you use them inside your organisation and with your own advisers. You do not redistribute or resell them.</w:t>
      </w:r>
    </w:p>
    <w:p>
      <w:pPr>
        <w:spacing w:before="160" w:after="40"/>
      </w:pPr>
      <w:r>
        <w:rPr>
          <w:rFonts w:ascii="Arial" w:hAnsi="Arial"/>
          <w:b/>
          <w:i w:val="0"/>
          <w:sz w:val="20"/>
        </w:rPr>
        <w:t>How it starts</w:t>
      </w:r>
    </w:p>
    <w:p>
      <w:pPr>
        <w:spacing w:after="120"/>
      </w:pPr>
      <w:r>
        <w:rPr>
          <w:rFonts w:ascii="Arial" w:hAnsi="Arial"/>
          <w:b/>
          <w:i w:val="0"/>
          <w:sz w:val="20"/>
        </w:rPr>
        <w:t>SLOT F</w:t>
      </w:r>
      <w:r>
        <w:rPr>
          <w:rFonts w:ascii="Arial" w:hAnsi="Arial"/>
          <w:b w:val="0"/>
          <w:i w:val="0"/>
          <w:sz w:val="20"/>
        </w:rPr>
        <w:t>: payment terms. Our draft is annual in advance, invoiced on signature and payable within 14 days, with a discount for payment within 14 days. Prices exclude VAT and are in sterling.</w:t>
      </w:r>
    </w:p>
    <w:p>
      <w:pPr>
        <w:spacing w:after="120"/>
      </w:pPr>
      <w:r>
        <w:rPr>
          <w:rFonts w:ascii="Arial" w:hAnsi="Arial"/>
          <w:b w:val="0"/>
          <w:i w:val="0"/>
          <w:sz w:val="20"/>
        </w:rPr>
        <w:t xml:space="preserve">Onboarding is a 45-minute call in which we run your first three routes together, and you keep the outputs. </w:t>
      </w:r>
      <w:r>
        <w:rPr>
          <w:rFonts w:ascii="Arial" w:hAnsi="Arial"/>
          <w:b/>
          <w:i w:val="0"/>
          <w:sz w:val="20"/>
        </w:rPr>
        <w:t>SLOT G</w:t>
      </w:r>
      <w:r>
        <w:rPr>
          <w:rFonts w:ascii="Arial" w:hAnsi="Arial"/>
          <w:b w:val="0"/>
          <w:i w:val="0"/>
          <w:sz w:val="20"/>
        </w:rPr>
        <w:t>: the contracting entity, the support address and the response time.</w:t>
      </w:r>
    </w:p>
    <w:sectPr w:rsidR="00FC693F" w:rsidRPr="0006063C" w:rsidSect="00034616">
      <w:footerReference w:type="default" r:id="rId9"/>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Arial" w:hAnsi="Arial"/>
        <w:b w:val="0"/>
        <w:i w:val="0"/>
        <w:color w:val="595959"/>
        <w:sz w:val="16"/>
      </w:rPr>
      <w:t xml:space="preserve">- DRAFT -   </w:t>
    </w:r>
    <w:r>
      <w:rPr>
        <w:rFonts w:ascii="Arial" w:hAnsi="Arial"/>
        <w:b w:val="0"/>
        <w:i w:val="0"/>
        <w:color w:val="595959"/>
        <w:sz w:val="16"/>
      </w:rPr>
      <w:t xml:space="preserve">P: </w:t>
    </w:r>
    <w:r>
      <w:rPr>
        <w:rFonts w:ascii="Arial" w:hAnsi="Arial"/>
        <w:color w:val="595959"/>
        <w:sz w:val="16"/>
      </w:r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themeFontLang w:val="en-G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GB" w:eastAsia="en-GB"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Meridian launch customer offer, draft v0.2</dc:title>
  <dc:subject/>
  <dc:creator>Avia Solutions</dc:creator>
  <cp:keywords/>
  <dc:description>DRAFT, commercial in confidence</dc:description>
  <cp:lastModifiedBy>Avia Solutions</cp:lastModifiedBy>
  <cp:revision>1</cp:revision>
  <dcterms:created xsi:type="dcterms:W3CDTF">2013-12-23T23:15:00Z</dcterms:created>
  <dcterms:modified xsi:type="dcterms:W3CDTF">2013-12-23T23:15:00Z</dcterms:modified>
  <cp:category>Meridian, World Routes 2026</cp:category>
</cp:coreProperties>
</file>