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sz w:val="32"/>
        </w:rPr>
        <w:t>Meridian licence agreement: draft for legal review</w:t>
      </w:r>
    </w:p>
    <w:p>
      <w:pPr>
        <w:spacing w:after="120"/>
      </w:pPr>
      <w:r>
        <w:rPr>
          <w:rFonts w:ascii="Arial" w:hAnsi="Arial"/>
          <w:b w:val="0"/>
          <w:i w:val="0"/>
          <w:sz w:val="20"/>
        </w:rPr>
        <w:t>Draft v0.2, 20 September 2026. Prepared by W5 for John Carter and for Avia's solicitor. Built to W5-RULINGS.md v2, including the launch offer, term, renewal, escalation and exit rulings of 20 September. NOT LEGAL ADVICE. Not to be issued to a client. Private and confidential.</w:t>
      </w:r>
    </w:p>
    <w:p>
      <w:pPr>
        <w:spacing w:after="120"/>
      </w:pPr>
      <w:r>
        <w:rPr>
          <w:rFonts w:ascii="Arial" w:hAnsi="Arial"/>
          <w:b w:val="0"/>
          <w:i w:val="0"/>
          <w:sz w:val="20"/>
        </w:rPr>
        <w:t>Two markers run through the draft:</w:t>
      </w:r>
    </w:p>
    <w:p>
      <w:pPr>
        <w:pStyle w:val="ListBullet"/>
        <w:spacing w:after="40"/>
      </w:pPr>
      <w:r>
        <w:rPr>
          <w:rFonts w:ascii="Arial" w:hAnsi="Arial"/>
          <w:b/>
          <w:i w:val="0"/>
          <w:sz w:val="20"/>
        </w:rPr>
        <w:t>SLOT n</w:t>
      </w:r>
      <w:r>
        <w:rPr>
          <w:rFonts w:ascii="Arial" w:hAnsi="Arial"/>
          <w:b w:val="0"/>
          <w:i w:val="0"/>
          <w:sz w:val="20"/>
        </w:rPr>
        <w:t xml:space="preserve"> marks a figure or term John has not yet ruled. John rules the open ones by 3 October 2026, in time for the solicitor's review in the week of 6 October.</w:t>
      </w:r>
    </w:p>
    <w:p>
      <w:pPr>
        <w:pStyle w:val="ListBullet"/>
        <w:spacing w:after="40"/>
      </w:pPr>
      <w:r>
        <w:rPr>
          <w:rFonts w:ascii="Arial" w:hAnsi="Arial"/>
          <w:b/>
          <w:i w:val="0"/>
          <w:sz w:val="20"/>
        </w:rPr>
        <w:t>LAWYER n</w:t>
      </w:r>
      <w:r>
        <w:rPr>
          <w:rFonts w:ascii="Arial" w:hAnsi="Arial"/>
          <w:b w:val="0"/>
          <w:i w:val="0"/>
          <w:sz w:val="20"/>
        </w:rPr>
        <w:t xml:space="preserve"> marks a clause that needs a solicitor before any client sees it. The thirteen are gathered in one list at the foot.</w:t>
      </w:r>
    </w:p>
    <w:p>
      <w:pPr>
        <w:spacing w:before="200" w:after="60"/>
      </w:pPr>
      <w:r>
        <w:rPr>
          <w:rFonts w:ascii="Arial" w:hAnsi="Arial"/>
          <w:b/>
          <w:i w:val="0"/>
          <w:sz w:val="22"/>
        </w:rPr>
        <w:t>1. Parties</w:t>
      </w:r>
    </w:p>
    <w:p>
      <w:pPr>
        <w:spacing w:after="120"/>
      </w:pPr>
      <w:r>
        <w:rPr>
          <w:rFonts w:ascii="Arial" w:hAnsi="Arial"/>
          <w:b w:val="0"/>
          <w:i w:val="0"/>
          <w:sz w:val="20"/>
        </w:rPr>
        <w:t xml:space="preserve">This agreement is made between </w:t>
      </w:r>
      <w:r>
        <w:rPr>
          <w:rFonts w:ascii="Arial" w:hAnsi="Arial"/>
          <w:b/>
          <w:i w:val="0"/>
          <w:sz w:val="20"/>
        </w:rPr>
        <w:t>SLOT 1</w:t>
      </w:r>
      <w:r>
        <w:rPr>
          <w:rFonts w:ascii="Arial" w:hAnsi="Arial"/>
          <w:b w:val="0"/>
          <w:i w:val="0"/>
          <w:sz w:val="20"/>
        </w:rPr>
        <w:t xml:space="preserve"> (the contracting entity, with its registered number and registered office: Avia Solutions Limited or The Aviation Observatory Ltd. Umbrella item 31, no default. It decides who invoices, who holds the OAG and Sabre subscriptions and who carries the liability, so it is answered before this draft reaches the solicitor) ("the Supplier") and the client named in the schedule ("the Client").</w:t>
      </w:r>
    </w:p>
    <w:p>
      <w:pPr>
        <w:spacing w:before="200" w:after="60"/>
      </w:pPr>
      <w:r>
        <w:rPr>
          <w:rFonts w:ascii="Arial" w:hAnsi="Arial"/>
          <w:b/>
          <w:i w:val="0"/>
          <w:sz w:val="22"/>
        </w:rPr>
        <w:t>2. What the Client receives</w:t>
      </w:r>
    </w:p>
    <w:p>
      <w:pPr>
        <w:spacing w:after="120"/>
      </w:pPr>
      <w:r>
        <w:rPr>
          <w:rFonts w:ascii="Arial" w:hAnsi="Arial"/>
          <w:b w:val="0"/>
          <w:i w:val="0"/>
          <w:sz w:val="20"/>
        </w:rPr>
        <w:t xml:space="preserve">The Supplier grants the Client a non-exclusive, non-transferable annual licence to use Meridian, the route forecasting tool published by The Aviation Observatory, for the Client's own airport and for the term set out in clause 3. The licence covers three named individual users at the Client's organisation. It includes forecasts, scenarios and exports without limit within fair use, 100 generated presentations in each year of the term across the three seats, and </w:t>
      </w:r>
      <w:r>
        <w:rPr>
          <w:rFonts w:ascii="Arial" w:hAnsi="Arial"/>
          <w:b/>
          <w:i w:val="0"/>
          <w:sz w:val="20"/>
        </w:rPr>
        <w:t>SLOT 2</w:t>
      </w:r>
      <w:r>
        <w:rPr>
          <w:rFonts w:ascii="Arial" w:hAnsi="Arial"/>
          <w:b w:val="0"/>
          <w:i w:val="0"/>
          <w:sz w:val="20"/>
        </w:rPr>
        <w:t xml:space="preserve"> (the review call: the draft promises one call each quarter with an Avia director; John confirms the cadence and that it is a director).</w:t>
      </w:r>
    </w:p>
    <w:p>
      <w:pPr>
        <w:spacing w:after="120"/>
      </w:pPr>
      <w:r>
        <w:rPr>
          <w:rFonts w:ascii="Arial" w:hAnsi="Arial"/>
          <w:b w:val="0"/>
          <w:i w:val="0"/>
          <w:sz w:val="20"/>
        </w:rPr>
        <w:t xml:space="preserve">The Supplier names the seats on signature. </w:t>
      </w:r>
      <w:r>
        <w:rPr>
          <w:rFonts w:ascii="Arial" w:hAnsi="Arial"/>
          <w:b/>
          <w:i w:val="0"/>
          <w:sz w:val="20"/>
        </w:rPr>
        <w:t>LAWYER 1</w:t>
      </w:r>
      <w:r>
        <w:rPr>
          <w:rFonts w:ascii="Arial" w:hAnsi="Arial"/>
          <w:b w:val="0"/>
          <w:i w:val="0"/>
          <w:sz w:val="20"/>
        </w:rPr>
        <w:t>: seats are per named individual. The clause needs wording on reassignment when a person leaves, and on what happens if a login is used beyond the named seats.</w:t>
      </w:r>
    </w:p>
    <w:p>
      <w:pPr>
        <w:spacing w:before="200" w:after="60"/>
      </w:pPr>
      <w:r>
        <w:rPr>
          <w:rFonts w:ascii="Arial" w:hAnsi="Arial"/>
          <w:b/>
          <w:i w:val="0"/>
          <w:sz w:val="22"/>
        </w:rPr>
        <w:t>3. Term and renewal</w:t>
      </w:r>
    </w:p>
    <w:p>
      <w:pPr>
        <w:spacing w:after="120"/>
      </w:pPr>
      <w:r>
        <w:rPr>
          <w:rFonts w:ascii="Arial" w:hAnsi="Arial"/>
          <w:b w:val="0"/>
          <w:i w:val="0"/>
          <w:sz w:val="20"/>
        </w:rPr>
        <w:t>The term runs for twelve months from the date the Supplier gives first access, and renews automatically for successive periods of twelve months. The Client may end the agreement at the next renewal by giving notice at least one month before the renewal date. The Supplier sends a renewal notice three months before each renewal date and a reminder two months before.</w:t>
      </w:r>
    </w:p>
    <w:p>
      <w:pPr>
        <w:spacing w:after="120"/>
      </w:pPr>
      <w:r>
        <w:rPr>
          <w:rFonts w:ascii="Arial" w:hAnsi="Arial"/>
          <w:b w:val="0"/>
          <w:i w:val="0"/>
          <w:sz w:val="20"/>
        </w:rPr>
        <w:t>Where the Client declares in the schedule that its own procurement rules do not permit an agreement that renews automatically, renewal is by the Client's written acceptance instead. That option is available only on that declaration and carries no change in price.</w:t>
      </w:r>
    </w:p>
    <w:p>
      <w:pPr>
        <w:spacing w:after="120"/>
      </w:pPr>
      <w:r>
        <w:rPr>
          <w:rFonts w:ascii="Arial" w:hAnsi="Arial"/>
          <w:b/>
          <w:i w:val="0"/>
          <w:sz w:val="20"/>
        </w:rPr>
        <w:t>LAWYER 2</w:t>
      </w:r>
      <w:r>
        <w:rPr>
          <w:rFonts w:ascii="Arial" w:hAnsi="Arial"/>
          <w:b w:val="0"/>
          <w:i w:val="0"/>
          <w:sz w:val="20"/>
        </w:rPr>
        <w:t xml:space="preserve">: the declaration wording, which is John's own flag. It has to be tight enough that the option means something and loose enough that a public-sector buyer can sign it. </w:t>
      </w:r>
      <w:r>
        <w:rPr>
          <w:rFonts w:ascii="Arial" w:hAnsi="Arial"/>
          <w:b/>
          <w:i w:val="0"/>
          <w:sz w:val="20"/>
        </w:rPr>
        <w:t>LAWYER 12</w:t>
      </w:r>
      <w:r>
        <w:rPr>
          <w:rFonts w:ascii="Arial" w:hAnsi="Arial"/>
          <w:b w:val="0"/>
          <w:i w:val="0"/>
          <w:sz w:val="20"/>
        </w:rPr>
        <w:t>: automatic renewal in a business-to-business contract, and whether the notice periods in this clause are enough to make it enforceable.</w:t>
      </w:r>
    </w:p>
    <w:p>
      <w:pPr>
        <w:spacing w:before="200" w:after="60"/>
      </w:pPr>
      <w:r>
        <w:rPr>
          <w:rFonts w:ascii="Arial" w:hAnsi="Arial"/>
          <w:b/>
          <w:i w:val="0"/>
          <w:sz w:val="22"/>
        </w:rPr>
        <w:t>4. Price: the launch terms and the three-year schedule</w:t>
      </w:r>
    </w:p>
    <w:p>
      <w:pPr>
        <w:spacing w:after="120"/>
      </w:pPr>
      <w:r>
        <w:rPr>
          <w:rFonts w:ascii="Arial" w:hAnsi="Arial"/>
          <w:b w:val="0"/>
          <w:i w:val="0"/>
          <w:sz w:val="20"/>
        </w:rPr>
        <w:t xml:space="preserve">The Client's band is </w:t>
      </w:r>
      <w:r>
        <w:rPr>
          <w:rFonts w:ascii="Arial" w:hAnsi="Arial"/>
          <w:b/>
          <w:i w:val="0"/>
          <w:sz w:val="20"/>
        </w:rPr>
        <w:t>SLOT 3</w:t>
      </w:r>
      <w:r>
        <w:rPr>
          <w:rFonts w:ascii="Arial" w:hAnsi="Arial"/>
          <w:b w:val="0"/>
          <w:i w:val="0"/>
          <w:sz w:val="20"/>
        </w:rPr>
        <w:t xml:space="preserve"> (small, medium or large, determined from published passenger numbers and agreed in the quotation. The internal thresholds that place a client in a band are John's, by 3 October). The Client's agreement carries its own band only; all three are shown here for the draft.</w:t>
      </w:r>
    </w:p>
    <w:p>
      <w:pPr>
        <w:spacing w:after="120"/>
      </w:pPr>
      <w:r>
        <w:rPr>
          <w:rFonts w:ascii="Arial" w:hAnsi="Arial"/>
          <w:b w:val="0"/>
          <w:i w:val="0"/>
          <w:sz w:val="20"/>
        </w:rPr>
        <w:t>The Supplier's standard list price by band, shown for illustration over three years. The Supplier reviews its list annually; this schedule assumes 3% a year. The contractual mechanism is clause 5.</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Arial" w:hAnsi="Arial"/>
                <w:b/>
                <w:i w:val="0"/>
                <w:sz w:val="20"/>
              </w:rPr>
              <w:t>Airport band</w:t>
            </w:r>
          </w:p>
        </w:tc>
        <w:tc>
          <w:tcPr>
            <w:tcW w:type="dxa" w:w="2409"/>
          </w:tcPr>
          <w:p>
            <w:r>
              <w:rPr>
                <w:rFonts w:ascii="Arial" w:hAnsi="Arial"/>
                <w:b/>
                <w:i w:val="0"/>
                <w:sz w:val="20"/>
              </w:rPr>
              <w:t>Year 1 list</w:t>
            </w:r>
          </w:p>
        </w:tc>
        <w:tc>
          <w:tcPr>
            <w:tcW w:type="dxa" w:w="2409"/>
          </w:tcPr>
          <w:p>
            <w:r>
              <w:rPr>
                <w:rFonts w:ascii="Arial" w:hAnsi="Arial"/>
                <w:b/>
                <w:i w:val="0"/>
                <w:sz w:val="20"/>
              </w:rPr>
              <w:t>Year 2 list</w:t>
            </w:r>
          </w:p>
        </w:tc>
        <w:tc>
          <w:tcPr>
            <w:tcW w:type="dxa" w:w="2409"/>
          </w:tcPr>
          <w:p>
            <w:r>
              <w:rPr>
                <w:rFonts w:ascii="Arial" w:hAnsi="Arial"/>
                <w:b/>
                <w:i w:val="0"/>
                <w:sz w:val="20"/>
              </w:rPr>
              <w:t>Year 3 list</w:t>
            </w:r>
          </w:p>
        </w:tc>
      </w:tr>
      <w:tr>
        <w:tc>
          <w:tcPr>
            <w:tcW w:type="dxa" w:w="2409"/>
          </w:tcPr>
          <w:p>
            <w:r>
              <w:rPr>
                <w:rFonts w:ascii="Arial" w:hAnsi="Arial"/>
                <w:b w:val="0"/>
                <w:i w:val="0"/>
                <w:sz w:val="20"/>
              </w:rPr>
              <w:t>Small</w:t>
            </w:r>
          </w:p>
        </w:tc>
        <w:tc>
          <w:tcPr>
            <w:tcW w:type="dxa" w:w="2409"/>
          </w:tcPr>
          <w:p>
            <w:r>
              <w:rPr>
                <w:rFonts w:ascii="Arial" w:hAnsi="Arial"/>
                <w:b w:val="0"/>
                <w:i w:val="0"/>
                <w:sz w:val="20"/>
              </w:rPr>
              <w:t>£15,000</w:t>
            </w:r>
          </w:p>
        </w:tc>
        <w:tc>
          <w:tcPr>
            <w:tcW w:type="dxa" w:w="2409"/>
          </w:tcPr>
          <w:p>
            <w:r>
              <w:rPr>
                <w:rFonts w:ascii="Arial" w:hAnsi="Arial"/>
                <w:b w:val="0"/>
                <w:i w:val="0"/>
                <w:sz w:val="20"/>
              </w:rPr>
              <w:t>£15,450</w:t>
            </w:r>
          </w:p>
        </w:tc>
        <w:tc>
          <w:tcPr>
            <w:tcW w:type="dxa" w:w="2409"/>
          </w:tcPr>
          <w:p>
            <w:r>
              <w:rPr>
                <w:rFonts w:ascii="Arial" w:hAnsi="Arial"/>
                <w:b w:val="0"/>
                <w:i w:val="0"/>
                <w:sz w:val="20"/>
              </w:rPr>
              <w:t>£15,914</w:t>
            </w:r>
          </w:p>
        </w:tc>
      </w:tr>
      <w:tr>
        <w:tc>
          <w:tcPr>
            <w:tcW w:type="dxa" w:w="2409"/>
          </w:tcPr>
          <w:p>
            <w:r>
              <w:rPr>
                <w:rFonts w:ascii="Arial" w:hAnsi="Arial"/>
                <w:b w:val="0"/>
                <w:i w:val="0"/>
                <w:sz w:val="20"/>
              </w:rPr>
              <w:t>Medium</w:t>
            </w:r>
          </w:p>
        </w:tc>
        <w:tc>
          <w:tcPr>
            <w:tcW w:type="dxa" w:w="2409"/>
          </w:tcPr>
          <w:p>
            <w:r>
              <w:rPr>
                <w:rFonts w:ascii="Arial" w:hAnsi="Arial"/>
                <w:b w:val="0"/>
                <w:i w:val="0"/>
                <w:sz w:val="20"/>
              </w:rPr>
              <w:t>£20,000</w:t>
            </w:r>
          </w:p>
        </w:tc>
        <w:tc>
          <w:tcPr>
            <w:tcW w:type="dxa" w:w="2409"/>
          </w:tcPr>
          <w:p>
            <w:r>
              <w:rPr>
                <w:rFonts w:ascii="Arial" w:hAnsi="Arial"/>
                <w:b w:val="0"/>
                <w:i w:val="0"/>
                <w:sz w:val="20"/>
              </w:rPr>
              <w:t>£20,600</w:t>
            </w:r>
          </w:p>
        </w:tc>
        <w:tc>
          <w:tcPr>
            <w:tcW w:type="dxa" w:w="2409"/>
          </w:tcPr>
          <w:p>
            <w:r>
              <w:rPr>
                <w:rFonts w:ascii="Arial" w:hAnsi="Arial"/>
                <w:b w:val="0"/>
                <w:i w:val="0"/>
                <w:sz w:val="20"/>
              </w:rPr>
              <w:t>£21,218</w:t>
            </w:r>
          </w:p>
        </w:tc>
      </w:tr>
      <w:tr>
        <w:tc>
          <w:tcPr>
            <w:tcW w:type="dxa" w:w="2409"/>
          </w:tcPr>
          <w:p>
            <w:r>
              <w:rPr>
                <w:rFonts w:ascii="Arial" w:hAnsi="Arial"/>
                <w:b w:val="0"/>
                <w:i w:val="0"/>
                <w:sz w:val="20"/>
              </w:rPr>
              <w:t>Large</w:t>
            </w:r>
          </w:p>
        </w:tc>
        <w:tc>
          <w:tcPr>
            <w:tcW w:type="dxa" w:w="2409"/>
          </w:tcPr>
          <w:p>
            <w:r>
              <w:rPr>
                <w:rFonts w:ascii="Arial" w:hAnsi="Arial"/>
                <w:b w:val="0"/>
                <w:i w:val="0"/>
                <w:sz w:val="20"/>
              </w:rPr>
              <w:t>£25,000</w:t>
            </w:r>
          </w:p>
        </w:tc>
        <w:tc>
          <w:tcPr>
            <w:tcW w:type="dxa" w:w="2409"/>
          </w:tcPr>
          <w:p>
            <w:r>
              <w:rPr>
                <w:rFonts w:ascii="Arial" w:hAnsi="Arial"/>
                <w:b w:val="0"/>
                <w:i w:val="0"/>
                <w:sz w:val="20"/>
              </w:rPr>
              <w:t>£25,750</w:t>
            </w:r>
          </w:p>
        </w:tc>
        <w:tc>
          <w:tcPr>
            <w:tcW w:type="dxa" w:w="2409"/>
          </w:tcPr>
          <w:p>
            <w:r>
              <w:rPr>
                <w:rFonts w:ascii="Arial" w:hAnsi="Arial"/>
                <w:b w:val="0"/>
                <w:i w:val="0"/>
                <w:sz w:val="20"/>
              </w:rPr>
              <w:t>£26,523</w:t>
            </w:r>
          </w:p>
        </w:tc>
      </w:tr>
    </w:tbl>
    <w:p>
      <w:pPr>
        <w:spacing w:after="120"/>
      </w:pPr>
      <w:r>
        <w:rPr>
          <w:rFonts w:ascii="Arial" w:hAnsi="Arial"/>
          <w:b w:val="0"/>
          <w:i w:val="0"/>
          <w:sz w:val="20"/>
        </w:rPr>
        <w:t>The Client is a launch client and pays, for years 1, 2 and 3, the fixed sums below. They are 50%, 75% and 85% of the list for each year in the schedule above, rounded to the nearest £50. The illustrative list is shown to the nearest pound so that each launch figure reconciles against it. They are stated in pounds, they are fixed at signature, and nothing in years 1 to 3 refers to a list published later.</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i w:val="0"/>
                <w:sz w:val="20"/>
              </w:rPr>
              <w:t>Airport band</w:t>
            </w:r>
          </w:p>
        </w:tc>
        <w:tc>
          <w:tcPr>
            <w:tcW w:type="dxa" w:w="1928"/>
          </w:tcPr>
          <w:p>
            <w:r>
              <w:rPr>
                <w:rFonts w:ascii="Arial" w:hAnsi="Arial"/>
                <w:b/>
                <w:i w:val="0"/>
                <w:sz w:val="20"/>
              </w:rPr>
              <w:t>Year 1</w:t>
            </w:r>
          </w:p>
        </w:tc>
        <w:tc>
          <w:tcPr>
            <w:tcW w:type="dxa" w:w="1928"/>
          </w:tcPr>
          <w:p>
            <w:r>
              <w:rPr>
                <w:rFonts w:ascii="Arial" w:hAnsi="Arial"/>
                <w:b/>
                <w:i w:val="0"/>
                <w:sz w:val="20"/>
              </w:rPr>
              <w:t>Year 2</w:t>
            </w:r>
          </w:p>
        </w:tc>
        <w:tc>
          <w:tcPr>
            <w:tcW w:type="dxa" w:w="1928"/>
          </w:tcPr>
          <w:p>
            <w:r>
              <w:rPr>
                <w:rFonts w:ascii="Arial" w:hAnsi="Arial"/>
                <w:b/>
                <w:i w:val="0"/>
                <w:sz w:val="20"/>
              </w:rPr>
              <w:t>Year 3</w:t>
            </w:r>
          </w:p>
        </w:tc>
        <w:tc>
          <w:tcPr>
            <w:tcW w:type="dxa" w:w="1928"/>
          </w:tcPr>
          <w:p>
            <w:r>
              <w:rPr>
                <w:rFonts w:ascii="Arial" w:hAnsi="Arial"/>
                <w:b/>
                <w:i w:val="0"/>
                <w:sz w:val="20"/>
              </w:rPr>
              <w:t>Year 4 onward</w:t>
            </w:r>
          </w:p>
        </w:tc>
      </w:tr>
      <w:tr>
        <w:tc>
          <w:tcPr>
            <w:tcW w:type="dxa" w:w="1928"/>
          </w:tcPr>
          <w:p>
            <w:r>
              <w:rPr>
                <w:rFonts w:ascii="Arial" w:hAnsi="Arial"/>
                <w:b w:val="0"/>
                <w:i w:val="0"/>
                <w:sz w:val="20"/>
              </w:rPr>
              <w:t>Small</w:t>
            </w:r>
          </w:p>
        </w:tc>
        <w:tc>
          <w:tcPr>
            <w:tcW w:type="dxa" w:w="1928"/>
          </w:tcPr>
          <w:p>
            <w:r>
              <w:rPr>
                <w:rFonts w:ascii="Arial" w:hAnsi="Arial"/>
                <w:b w:val="0"/>
                <w:i w:val="0"/>
                <w:sz w:val="20"/>
              </w:rPr>
              <w:t>£7,500</w:t>
            </w:r>
          </w:p>
        </w:tc>
        <w:tc>
          <w:tcPr>
            <w:tcW w:type="dxa" w:w="1928"/>
          </w:tcPr>
          <w:p>
            <w:r>
              <w:rPr>
                <w:rFonts w:ascii="Arial" w:hAnsi="Arial"/>
                <w:b w:val="0"/>
                <w:i w:val="0"/>
                <w:sz w:val="20"/>
              </w:rPr>
              <w:t>£11,600</w:t>
            </w:r>
          </w:p>
        </w:tc>
        <w:tc>
          <w:tcPr>
            <w:tcW w:type="dxa" w:w="1928"/>
          </w:tcPr>
          <w:p>
            <w:r>
              <w:rPr>
                <w:rFonts w:ascii="Arial" w:hAnsi="Arial"/>
                <w:b w:val="0"/>
                <w:i w:val="0"/>
                <w:sz w:val="20"/>
              </w:rPr>
              <w:t>£13,550</w:t>
            </w:r>
          </w:p>
        </w:tc>
        <w:tc>
          <w:tcPr>
            <w:tcW w:type="dxa" w:w="1928"/>
          </w:tcPr>
          <w:p>
            <w:r>
              <w:rPr>
                <w:rFonts w:ascii="Arial" w:hAnsi="Arial"/>
                <w:b w:val="0"/>
                <w:i w:val="0"/>
                <w:sz w:val="20"/>
              </w:rPr>
              <w:t>the published list</w:t>
            </w:r>
          </w:p>
        </w:tc>
      </w:tr>
      <w:tr>
        <w:tc>
          <w:tcPr>
            <w:tcW w:type="dxa" w:w="1928"/>
          </w:tcPr>
          <w:p>
            <w:r>
              <w:rPr>
                <w:rFonts w:ascii="Arial" w:hAnsi="Arial"/>
                <w:b w:val="0"/>
                <w:i w:val="0"/>
                <w:sz w:val="20"/>
              </w:rPr>
              <w:t>Medium</w:t>
            </w:r>
          </w:p>
        </w:tc>
        <w:tc>
          <w:tcPr>
            <w:tcW w:type="dxa" w:w="1928"/>
          </w:tcPr>
          <w:p>
            <w:r>
              <w:rPr>
                <w:rFonts w:ascii="Arial" w:hAnsi="Arial"/>
                <w:b w:val="0"/>
                <w:i w:val="0"/>
                <w:sz w:val="20"/>
              </w:rPr>
              <w:t>£10,000</w:t>
            </w:r>
          </w:p>
        </w:tc>
        <w:tc>
          <w:tcPr>
            <w:tcW w:type="dxa" w:w="1928"/>
          </w:tcPr>
          <w:p>
            <w:r>
              <w:rPr>
                <w:rFonts w:ascii="Arial" w:hAnsi="Arial"/>
                <w:b w:val="0"/>
                <w:i w:val="0"/>
                <w:sz w:val="20"/>
              </w:rPr>
              <w:t>£15,450</w:t>
            </w:r>
          </w:p>
        </w:tc>
        <w:tc>
          <w:tcPr>
            <w:tcW w:type="dxa" w:w="1928"/>
          </w:tcPr>
          <w:p>
            <w:r>
              <w:rPr>
                <w:rFonts w:ascii="Arial" w:hAnsi="Arial"/>
                <w:b w:val="0"/>
                <w:i w:val="0"/>
                <w:sz w:val="20"/>
              </w:rPr>
              <w:t>£18,050</w:t>
            </w:r>
          </w:p>
        </w:tc>
        <w:tc>
          <w:tcPr>
            <w:tcW w:type="dxa" w:w="1928"/>
          </w:tcPr>
          <w:p>
            <w:r>
              <w:rPr>
                <w:rFonts w:ascii="Arial" w:hAnsi="Arial"/>
                <w:b w:val="0"/>
                <w:i w:val="0"/>
                <w:sz w:val="20"/>
              </w:rPr>
              <w:t>the published list</w:t>
            </w:r>
          </w:p>
        </w:tc>
      </w:tr>
      <w:tr>
        <w:tc>
          <w:tcPr>
            <w:tcW w:type="dxa" w:w="1928"/>
          </w:tcPr>
          <w:p>
            <w:r>
              <w:rPr>
                <w:rFonts w:ascii="Arial" w:hAnsi="Arial"/>
                <w:b w:val="0"/>
                <w:i w:val="0"/>
                <w:sz w:val="20"/>
              </w:rPr>
              <w:t>Large</w:t>
            </w:r>
          </w:p>
        </w:tc>
        <w:tc>
          <w:tcPr>
            <w:tcW w:type="dxa" w:w="1928"/>
          </w:tcPr>
          <w:p>
            <w:r>
              <w:rPr>
                <w:rFonts w:ascii="Arial" w:hAnsi="Arial"/>
                <w:b w:val="0"/>
                <w:i w:val="0"/>
                <w:sz w:val="20"/>
              </w:rPr>
              <w:t>£12,500</w:t>
            </w:r>
          </w:p>
        </w:tc>
        <w:tc>
          <w:tcPr>
            <w:tcW w:type="dxa" w:w="1928"/>
          </w:tcPr>
          <w:p>
            <w:r>
              <w:rPr>
                <w:rFonts w:ascii="Arial" w:hAnsi="Arial"/>
                <w:b w:val="0"/>
                <w:i w:val="0"/>
                <w:sz w:val="20"/>
              </w:rPr>
              <w:t>£19,300</w:t>
            </w:r>
          </w:p>
        </w:tc>
        <w:tc>
          <w:tcPr>
            <w:tcW w:type="dxa" w:w="1928"/>
          </w:tcPr>
          <w:p>
            <w:r>
              <w:rPr>
                <w:rFonts w:ascii="Arial" w:hAnsi="Arial"/>
                <w:b w:val="0"/>
                <w:i w:val="0"/>
                <w:sz w:val="20"/>
              </w:rPr>
              <w:t>£22,550</w:t>
            </w:r>
          </w:p>
        </w:tc>
        <w:tc>
          <w:tcPr>
            <w:tcW w:type="dxa" w:w="1928"/>
          </w:tcPr>
          <w:p>
            <w:r>
              <w:rPr>
                <w:rFonts w:ascii="Arial" w:hAnsi="Arial"/>
                <w:b w:val="0"/>
                <w:i w:val="0"/>
                <w:sz w:val="20"/>
              </w:rPr>
              <w:t>the published list</w:t>
            </w:r>
          </w:p>
        </w:tc>
      </w:tr>
    </w:tbl>
    <w:p>
      <w:pPr>
        <w:spacing w:after="120"/>
      </w:pPr>
      <w:r>
        <w:rPr>
          <w:rFonts w:ascii="Arial" w:hAnsi="Arial"/>
          <w:b w:val="0"/>
          <w:i w:val="0"/>
          <w:sz w:val="20"/>
        </w:rPr>
        <w:t>From year 4 the Client pays the Supplier's published standard price for its band at the renewal date, with clause 5 applying. The Client is under no obligation to renew at any step.</w:t>
      </w:r>
    </w:p>
    <w:p>
      <w:pPr>
        <w:spacing w:after="120"/>
      </w:pPr>
      <w:r>
        <w:rPr>
          <w:rFonts w:ascii="Arial" w:hAnsi="Arial"/>
          <w:b w:val="0"/>
          <w:i w:val="0"/>
          <w:sz w:val="20"/>
        </w:rPr>
        <w:t>Each year of the licence is the whole product. The price steps with the size of the airport, never with features held back.</w:t>
      </w:r>
    </w:p>
    <w:p>
      <w:pPr>
        <w:spacing w:after="120"/>
      </w:pPr>
      <w:r>
        <w:rPr>
          <w:rFonts w:ascii="Arial" w:hAnsi="Arial"/>
          <w:b/>
          <w:i w:val="0"/>
          <w:sz w:val="20"/>
        </w:rPr>
        <w:t>LAWYER 3</w:t>
      </w:r>
      <w:r>
        <w:rPr>
          <w:rFonts w:ascii="Arial" w:hAnsi="Arial"/>
          <w:b w:val="0"/>
          <w:i w:val="0"/>
          <w:sz w:val="20"/>
        </w:rPr>
        <w:t>: "the published standard price" has to be defined, or year 4 is unenforceable. The proposed definition is the Supplier's price list for Meridian as published on its website at the renewal date.</w:t>
      </w:r>
    </w:p>
    <w:p>
      <w:pPr>
        <w:spacing w:before="200" w:after="60"/>
      </w:pPr>
      <w:r>
        <w:rPr>
          <w:rFonts w:ascii="Arial" w:hAnsi="Arial"/>
          <w:b/>
          <w:i w:val="0"/>
          <w:sz w:val="22"/>
        </w:rPr>
        <w:t>5. Escalation</w:t>
      </w:r>
    </w:p>
    <w:p>
      <w:pPr>
        <w:spacing w:after="120"/>
      </w:pPr>
      <w:r>
        <w:rPr>
          <w:rFonts w:ascii="Arial" w:hAnsi="Arial"/>
          <w:b w:val="0"/>
          <w:i w:val="0"/>
          <w:sz w:val="20"/>
        </w:rPr>
        <w:t>The Supplier's standard prices are reviewed each year and move by at least inflation. At each renewal the price increases by not less than the change in the UK Consumer Prices Index (Office for National Statistics, all items, the twelve months to the preceding December), and the Supplier may set a higher increase in the renewal notice it gives under clause 3.</w:t>
      </w:r>
    </w:p>
    <w:p>
      <w:pPr>
        <w:spacing w:after="120"/>
      </w:pPr>
      <w:r>
        <w:rPr>
          <w:rFonts w:ascii="Arial" w:hAnsi="Arial"/>
          <w:b w:val="0"/>
          <w:i w:val="0"/>
          <w:sz w:val="20"/>
        </w:rPr>
        <w:t>The three fixed sums in clause 4 are the express exception to this clause for years 1, 2 and 3. From year 4 the Client is on the published list and this clause applies in full.</w:t>
      </w:r>
    </w:p>
    <w:p>
      <w:pPr>
        <w:spacing w:after="120"/>
      </w:pPr>
      <w:r>
        <w:rPr>
          <w:rFonts w:ascii="Arial" w:hAnsi="Arial"/>
          <w:b/>
          <w:i w:val="0"/>
          <w:sz w:val="20"/>
        </w:rPr>
        <w:t>LAWYER 4</w:t>
      </w:r>
      <w:r>
        <w:rPr>
          <w:rFonts w:ascii="Arial" w:hAnsi="Arial"/>
          <w:b w:val="0"/>
          <w:i w:val="0"/>
          <w:sz w:val="20"/>
        </w:rPr>
        <w:t>: draft the exception so that clauses 4 and 5 cannot be read against each other. If inflation runs above 3%, the launch client's years 2 and 3 sit below the escalation floor, by design; the drafting has to say so rather than leave it to be inferred.</w:t>
      </w:r>
    </w:p>
    <w:p>
      <w:pPr>
        <w:spacing w:before="200" w:after="60"/>
      </w:pPr>
      <w:r>
        <w:rPr>
          <w:rFonts w:ascii="Arial" w:hAnsi="Arial"/>
          <w:b/>
          <w:i w:val="0"/>
          <w:sz w:val="22"/>
        </w:rPr>
        <w:t>6. Add-ons and new functions</w:t>
      </w:r>
    </w:p>
    <w:p>
      <w:pPr>
        <w:spacing w:after="120"/>
      </w:pPr>
      <w:r>
        <w:rPr>
          <w:rFonts w:ascii="Arial" w:hAnsi="Arial"/>
          <w:b w:val="0"/>
          <w:i w:val="0"/>
          <w:sz w:val="20"/>
        </w:rPr>
        <w:t xml:space="preserve">The Supplier offers further modules and options at the prices published when they are offered. As a launch client, the Client takes any of them at 50% of that price if it adopts in year 1, or 75% if it adopts in year 2. Those adopted today: the Observatory Global Forecast, the Design Day module, and </w:t>
      </w:r>
      <w:r>
        <w:rPr>
          <w:rFonts w:ascii="Arial" w:hAnsi="Arial"/>
          <w:b/>
          <w:i w:val="0"/>
          <w:sz w:val="20"/>
        </w:rPr>
        <w:t>SLOT 4</w:t>
      </w:r>
      <w:r>
        <w:rPr>
          <w:rFonts w:ascii="Arial" w:hAnsi="Arial"/>
          <w:b w:val="0"/>
          <w:i w:val="0"/>
          <w:sz w:val="20"/>
        </w:rPr>
        <w:t xml:space="preserve"> (the Meridian route study, the researched pack for a single route, priced per route and invoiced on delivery with no licence. Umbrella item 35. It appears here and on the one-pager only once John prices it).</w:t>
      </w:r>
    </w:p>
    <w:p>
      <w:pPr>
        <w:spacing w:after="120"/>
      </w:pPr>
      <w:r>
        <w:rPr>
          <w:rFonts w:ascii="Arial" w:hAnsi="Arial"/>
          <w:b w:val="0"/>
          <w:i w:val="0"/>
          <w:sz w:val="20"/>
        </w:rPr>
        <w:t>Where the Supplier builds a function into the core product rather than offering it as an option, the Supplier may increase the core price at the next renewal by more than clause 5 requires. It gives that increase in the renewal notice under clause 3, and the Client keeps its right not to renew.</w:t>
      </w:r>
    </w:p>
    <w:p>
      <w:pPr>
        <w:spacing w:after="120"/>
      </w:pPr>
      <w:r>
        <w:rPr>
          <w:rFonts w:ascii="Arial" w:hAnsi="Arial"/>
          <w:b/>
          <w:i w:val="0"/>
          <w:sz w:val="20"/>
        </w:rPr>
        <w:t>LAWYER 5</w:t>
      </w:r>
      <w:r>
        <w:rPr>
          <w:rFonts w:ascii="Arial" w:hAnsi="Arial"/>
          <w:b w:val="0"/>
          <w:i w:val="0"/>
          <w:sz w:val="20"/>
        </w:rPr>
        <w:t>: a clause that lets one party raise the price above the agreed mechanism invites challenge. It needs the notice, the Client's exit and the limits stated in terms that hold.</w:t>
      </w:r>
    </w:p>
    <w:p>
      <w:pPr>
        <w:spacing w:before="200" w:after="60"/>
      </w:pPr>
      <w:r>
        <w:rPr>
          <w:rFonts w:ascii="Arial" w:hAnsi="Arial"/>
          <w:b/>
          <w:i w:val="0"/>
          <w:sz w:val="22"/>
        </w:rPr>
        <w:t>7. Payment</w:t>
      </w:r>
    </w:p>
    <w:p>
      <w:pPr>
        <w:spacing w:after="120"/>
      </w:pPr>
      <w:r>
        <w:rPr>
          <w:rFonts w:ascii="Arial" w:hAnsi="Arial"/>
          <w:b/>
          <w:i w:val="0"/>
          <w:sz w:val="20"/>
        </w:rPr>
        <w:t>SLOT 5</w:t>
      </w:r>
      <w:r>
        <w:rPr>
          <w:rFonts w:ascii="Arial" w:hAnsi="Arial"/>
          <w:b w:val="0"/>
          <w:i w:val="0"/>
          <w:sz w:val="20"/>
        </w:rPr>
        <w:t xml:space="preserve"> (payment terms: annual in advance, invoice on signature, payable within 14 days, with a stated discount for payment within 14 days if John rules one. This is the controller's proposal of 20 September and John rules it by 3 October). All prices exclude VAT and are in sterling.</w:t>
      </w:r>
    </w:p>
    <w:p>
      <w:pPr>
        <w:spacing w:after="120"/>
      </w:pPr>
      <w:r>
        <w:rPr>
          <w:rFonts w:ascii="Arial" w:hAnsi="Arial"/>
          <w:b w:val="0"/>
          <w:i w:val="0"/>
          <w:sz w:val="20"/>
        </w:rPr>
        <w:t xml:space="preserve">Presentations generated beyond the 100 included in clause 2 are charged for each document at </w:t>
      </w:r>
      <w:r>
        <w:rPr>
          <w:rFonts w:ascii="Arial" w:hAnsi="Arial"/>
          <w:b/>
          <w:i w:val="0"/>
          <w:sz w:val="20"/>
        </w:rPr>
        <w:t>SLOT 6</w:t>
      </w:r>
      <w:r>
        <w:rPr>
          <w:rFonts w:ascii="Arial" w:hAnsi="Arial"/>
          <w:b w:val="0"/>
          <w:i w:val="0"/>
          <w:sz w:val="20"/>
        </w:rPr>
        <w:t xml:space="preserve"> (the overage rate. No figure exists anywhere; the pricing note of 19 September 2026 records that it must be set before the first licence is issued. Until it is set, the 100 included is a cap and further presentations are quoted separately).</w:t>
      </w:r>
    </w:p>
    <w:p>
      <w:pPr>
        <w:spacing w:after="120"/>
      </w:pPr>
      <w:r>
        <w:rPr>
          <w:rFonts w:ascii="Arial" w:hAnsi="Arial"/>
          <w:b/>
          <w:i w:val="0"/>
          <w:sz w:val="20"/>
        </w:rPr>
        <w:t>LAWYER 6</w:t>
      </w:r>
      <w:r>
        <w:rPr>
          <w:rFonts w:ascii="Arial" w:hAnsi="Arial"/>
          <w:b w:val="0"/>
          <w:i w:val="0"/>
          <w:sz w:val="20"/>
        </w:rPr>
        <w:t>: interest on late payment, and whether the Supplier may suspend access for non-payment and after how long.</w:t>
      </w:r>
    </w:p>
    <w:p>
      <w:pPr>
        <w:spacing w:before="200" w:after="60"/>
      </w:pPr>
      <w:r>
        <w:rPr>
          <w:rFonts w:ascii="Arial" w:hAnsi="Arial"/>
          <w:b/>
          <w:i w:val="0"/>
          <w:sz w:val="22"/>
        </w:rPr>
        <w:t>8. What the launch client gives</w:t>
      </w:r>
    </w:p>
    <w:p>
      <w:pPr>
        <w:spacing w:after="120"/>
      </w:pPr>
      <w:r>
        <w:rPr>
          <w:rFonts w:ascii="Arial" w:hAnsi="Arial"/>
          <w:b w:val="0"/>
          <w:i w:val="0"/>
          <w:sz w:val="20"/>
        </w:rPr>
        <w:t>The Client receives the launch price in return for the following, which are the consideration for it:</w:t>
      </w:r>
    </w:p>
    <w:p>
      <w:pPr>
        <w:pStyle w:val="ListBullet"/>
        <w:spacing w:after="40"/>
      </w:pPr>
      <w:r>
        <w:rPr>
          <w:rFonts w:ascii="Arial" w:hAnsi="Arial"/>
          <w:b w:val="0"/>
          <w:i w:val="0"/>
          <w:sz w:val="20"/>
        </w:rPr>
        <w:t>It accepts that Meridian is newly launched, and works with the Supplier on the items in the known-issues list attached as the schedule rather than treating them as breaches.</w:t>
      </w:r>
    </w:p>
    <w:p>
      <w:pPr>
        <w:pStyle w:val="ListBullet"/>
        <w:spacing w:after="40"/>
      </w:pPr>
      <w:r>
        <w:rPr>
          <w:rFonts w:ascii="Arial" w:hAnsi="Arial"/>
          <w:b w:val="0"/>
          <w:i w:val="0"/>
          <w:sz w:val="20"/>
        </w:rPr>
        <w:t>It gives the Supplier structured feedback on use at least once each quarter during year 1.</w:t>
      </w:r>
    </w:p>
    <w:p>
      <w:pPr>
        <w:pStyle w:val="ListBullet"/>
        <w:spacing w:after="40"/>
      </w:pPr>
      <w:r>
        <w:rPr>
          <w:rFonts w:ascii="Arial" w:hAnsi="Arial"/>
          <w:b w:val="0"/>
          <w:i w:val="0"/>
          <w:sz w:val="20"/>
        </w:rPr>
        <w:t>It acts as a reference for the Supplier, and allows the Supplier to use its name and brand in the Supplier's marketing.</w:t>
      </w:r>
    </w:p>
    <w:p>
      <w:pPr>
        <w:pStyle w:val="ListBullet"/>
        <w:spacing w:after="40"/>
      </w:pPr>
      <w:r>
        <w:rPr>
          <w:rFonts w:ascii="Arial" w:hAnsi="Arial"/>
          <w:b w:val="0"/>
          <w:i w:val="0"/>
          <w:sz w:val="20"/>
        </w:rPr>
        <w:t xml:space="preserve">It signs this agreement by 30 November 2026. </w:t>
      </w:r>
      <w:r>
        <w:rPr>
          <w:rFonts w:ascii="Arial" w:hAnsi="Arial"/>
          <w:b/>
          <w:i w:val="0"/>
          <w:sz w:val="20"/>
        </w:rPr>
        <w:t>SLOT 7</w:t>
      </w:r>
      <w:r>
        <w:rPr>
          <w:rFonts w:ascii="Arial" w:hAnsi="Arial"/>
          <w:b w:val="0"/>
          <w:i w:val="0"/>
          <w:sz w:val="20"/>
        </w:rPr>
        <w:t xml:space="preserve"> (the number of launch places. John, by 3 October. It belongs in the offer rather than in this agreement, and this clause names it only if John wants the Client to see the number it was one of). </w:t>
      </w:r>
      <w:r>
        <w:rPr>
          <w:rFonts w:ascii="Arial" w:hAnsi="Arial"/>
          <w:b/>
          <w:i w:val="0"/>
          <w:sz w:val="20"/>
        </w:rPr>
        <w:t>LAWYER 11</w:t>
      </w:r>
      <w:r>
        <w:rPr>
          <w:rFonts w:ascii="Arial" w:hAnsi="Arial"/>
          <w:b w:val="0"/>
          <w:i w:val="0"/>
          <w:sz w:val="20"/>
        </w:rPr>
        <w:t>: the use of the Client's name and brand needs its own wording: what may be used, whether the Client approves each use, and whether it may withdraw the permission later.</w:t>
      </w:r>
    </w:p>
    <w:p>
      <w:pPr>
        <w:spacing w:before="200" w:after="60"/>
      </w:pPr>
      <w:r>
        <w:rPr>
          <w:rFonts w:ascii="Arial" w:hAnsi="Arial"/>
          <w:b/>
          <w:i w:val="0"/>
          <w:sz w:val="22"/>
        </w:rPr>
        <w:t>9. The data behind the outputs</w:t>
      </w:r>
    </w:p>
    <w:p>
      <w:pPr>
        <w:spacing w:after="120"/>
      </w:pPr>
      <w:r>
        <w:rPr>
          <w:rFonts w:ascii="Arial" w:hAnsi="Arial"/>
          <w:b w:val="0"/>
          <w:i w:val="0"/>
          <w:sz w:val="20"/>
        </w:rPr>
        <w:t>Meridian is built on the Supplier's own subscriptions to OAG and Sabre data. Both providers have confirmed on calls, with witnesses present, that the Supplier may use the tool and share its outputs. The Supplier is obtaining that confirmation in writing and will provide it to the Client on request. The Client receives outputs, not data. The Client may use the outputs within its own organisation and with its own professional advisers. The Client does not redistribute, publish or resell them.</w:t>
      </w:r>
    </w:p>
    <w:p>
      <w:pPr>
        <w:spacing w:after="120"/>
      </w:pPr>
      <w:r>
        <w:rPr>
          <w:rFonts w:ascii="Arial" w:hAnsi="Arial"/>
          <w:b/>
          <w:i w:val="0"/>
          <w:sz w:val="20"/>
        </w:rPr>
        <w:t>LAWYER 7</w:t>
      </w:r>
      <w:r>
        <w:rPr>
          <w:rFonts w:ascii="Arial" w:hAnsi="Arial"/>
          <w:b w:val="0"/>
          <w:i w:val="0"/>
          <w:sz w:val="20"/>
        </w:rPr>
        <w:t>: the clause with the most exposure. What the Supplier warrants about third-party data rights, and what happens if a provider later restricts sharing. Clause 15 carries the consequence; this clause carries the warranty.</w:t>
      </w:r>
    </w:p>
    <w:p>
      <w:pPr>
        <w:spacing w:before="200" w:after="60"/>
      </w:pPr>
      <w:r>
        <w:rPr>
          <w:rFonts w:ascii="Arial" w:hAnsi="Arial"/>
          <w:b/>
          <w:i w:val="0"/>
          <w:sz w:val="22"/>
        </w:rPr>
        <w:t>10. What the forecast is, and what it is not</w:t>
      </w:r>
    </w:p>
    <w:p>
      <w:pPr>
        <w:spacing w:after="120"/>
      </w:pPr>
      <w:r>
        <w:rPr>
          <w:rFonts w:ascii="Arial" w:hAnsi="Arial"/>
          <w:b w:val="0"/>
          <w:i w:val="0"/>
          <w:sz w:val="20"/>
        </w:rPr>
        <w:t>Meridian builds a forecast step by step from measured demand, and every forecast carries its own calibrated range. On the calibration record behind it: calibrated leads are within 20% of the outcome 89% of the time and within 10% 82% of the time, on 2,915 real launches; blind results are reported as portfolios only, never as a single route.</w:t>
      </w:r>
    </w:p>
    <w:p>
      <w:pPr>
        <w:spacing w:after="120"/>
      </w:pPr>
      <w:r>
        <w:rPr>
          <w:rFonts w:ascii="Arial" w:hAnsi="Arial"/>
          <w:b w:val="0"/>
          <w:i w:val="0"/>
          <w:sz w:val="20"/>
        </w:rPr>
        <w:t>The aircraft economics outputs carry the Supplier's standard disclaimer, which reads as it reads in the tool:</w:t>
      </w:r>
    </w:p>
    <w:p>
      <w:pPr>
        <w:spacing w:after="80"/>
        <w:ind w:left="454"/>
      </w:pPr>
      <w:r>
        <w:rPr>
          <w:rFonts w:ascii="Arial" w:hAnsi="Arial"/>
          <w:b w:val="0"/>
          <w:i/>
          <w:color w:val="595959"/>
          <w:sz w:val="17"/>
        </w:rPr>
        <w:t>These aircraft economics outputs are indicative and intended for directional planning and</w:t>
      </w:r>
    </w:p>
    <w:p>
      <w:pPr>
        <w:spacing w:after="80"/>
        <w:ind w:left="454"/>
      </w:pPr>
      <w:r>
        <w:rPr>
          <w:rFonts w:ascii="Arial" w:hAnsi="Arial"/>
          <w:b w:val="0"/>
          <w:i/>
          <w:color w:val="595959"/>
          <w:sz w:val="17"/>
        </w:rPr>
        <w:t>comparison only. They are not a statement of the actual cost or profitability of any specific</w:t>
      </w:r>
    </w:p>
    <w:p>
      <w:pPr>
        <w:spacing w:after="80"/>
        <w:ind w:left="454"/>
      </w:pPr>
      <w:r>
        <w:rPr>
          <w:rFonts w:ascii="Arial" w:hAnsi="Arial"/>
          <w:b w:val="0"/>
          <w:i/>
          <w:color w:val="595959"/>
          <w:sz w:val="17"/>
        </w:rPr>
        <w:t>airline, aircraft or route. The figures are built from generic and published industry</w:t>
      </w:r>
    </w:p>
    <w:p>
      <w:pPr>
        <w:spacing w:after="80"/>
        <w:ind w:left="454"/>
      </w:pPr>
      <w:r>
        <w:rPr>
          <w:rFonts w:ascii="Arial" w:hAnsi="Arial"/>
          <w:b w:val="0"/>
          <w:i/>
          <w:color w:val="595959"/>
          <w:sz w:val="17"/>
        </w:rPr>
        <w:t>assumptions, including appraiser lease rates and values, OEM-indicative maintenance reserves,</w:t>
      </w:r>
    </w:p>
    <w:p>
      <w:pPr>
        <w:spacing w:after="80"/>
        <w:ind w:left="454"/>
      </w:pPr>
      <w:r>
        <w:rPr>
          <w:rFonts w:ascii="Arial" w:hAnsi="Arial"/>
          <w:b w:val="0"/>
          <w:i/>
          <w:color w:val="595959"/>
          <w:sz w:val="17"/>
        </w:rPr>
        <w:t>standardised utilisation by airline business model, and published or benchmark airport and air</w:t>
      </w:r>
    </w:p>
    <w:p>
      <w:pPr>
        <w:spacing w:after="80"/>
        <w:ind w:left="454"/>
      </w:pPr>
      <w:r>
        <w:rPr>
          <w:rFonts w:ascii="Arial" w:hAnsi="Arial"/>
          <w:b w:val="0"/>
          <w:i/>
          <w:color w:val="595959"/>
          <w:sz w:val="17"/>
        </w:rPr>
        <w:t>navigation charges. They do not reflect any individual operator's cabin configuration (LOPA),</w:t>
      </w:r>
    </w:p>
    <w:p>
      <w:pPr>
        <w:spacing w:after="80"/>
        <w:ind w:left="454"/>
      </w:pPr>
      <w:r>
        <w:rPr>
          <w:rFonts w:ascii="Arial" w:hAnsi="Arial"/>
          <w:b w:val="0"/>
          <w:i/>
          <w:color w:val="595959"/>
          <w:sz w:val="17"/>
        </w:rPr>
        <w:t>specific weight variant (MTOW), negotiated aircraft acquisition or lease terms, fuel hedging</w:t>
      </w:r>
    </w:p>
    <w:p>
      <w:pPr>
        <w:spacing w:after="80"/>
        <w:ind w:left="454"/>
      </w:pPr>
      <w:r>
        <w:rPr>
          <w:rFonts w:ascii="Arial" w:hAnsi="Arial"/>
          <w:b w:val="0"/>
          <w:i/>
          <w:color w:val="595959"/>
          <w:sz w:val="17"/>
        </w:rPr>
        <w:t>position, maintenance or component support agreements, crew costs, overhead structure,</w:t>
      </w:r>
    </w:p>
    <w:p>
      <w:pPr>
        <w:spacing w:after="80"/>
        <w:ind w:left="454"/>
      </w:pPr>
      <w:r>
        <w:rPr>
          <w:rFonts w:ascii="Arial" w:hAnsi="Arial"/>
          <w:b w:val="0"/>
          <w:i/>
          <w:color w:val="595959"/>
          <w:sz w:val="17"/>
        </w:rPr>
        <w:t>ancillary revenue or internal accounting policies. Actual results will differ, in some cases</w:t>
      </w:r>
    </w:p>
    <w:p>
      <w:pPr>
        <w:spacing w:after="80"/>
        <w:ind w:left="454"/>
      </w:pPr>
      <w:r>
        <w:rPr>
          <w:rFonts w:ascii="Arial" w:hAnsi="Arial"/>
          <w:b w:val="0"/>
          <w:i/>
          <w:color w:val="595959"/>
          <w:sz w:val="17"/>
        </w:rPr>
        <w:t>materially. These outputs should not be relied upon as a forecast of any particular operator's</w:t>
      </w:r>
    </w:p>
    <w:p>
      <w:pPr>
        <w:spacing w:after="80"/>
        <w:ind w:left="454"/>
      </w:pPr>
      <w:r>
        <w:rPr>
          <w:rFonts w:ascii="Arial" w:hAnsi="Arial"/>
          <w:b w:val="0"/>
          <w:i/>
          <w:color w:val="595959"/>
          <w:sz w:val="17"/>
        </w:rPr>
        <w:t>results, and Avia Solutions accepts no liability for any decision taken on the basis of them.</w:t>
      </w:r>
    </w:p>
    <w:p>
      <w:pPr>
        <w:spacing w:before="200" w:after="60"/>
      </w:pPr>
      <w:r>
        <w:rPr>
          <w:rFonts w:ascii="Arial" w:hAnsi="Arial"/>
          <w:b/>
          <w:i w:val="0"/>
          <w:sz w:val="22"/>
        </w:rPr>
        <w:t>11. Liability</w:t>
      </w:r>
    </w:p>
    <w:p>
      <w:pPr>
        <w:spacing w:after="120"/>
      </w:pPr>
      <w:r>
        <w:rPr>
          <w:rFonts w:ascii="Arial" w:hAnsi="Arial"/>
          <w:b w:val="0"/>
          <w:i w:val="0"/>
          <w:sz w:val="20"/>
        </w:rPr>
        <w:t>The Supplier accepts no liability for any decision the Client takes on the basis of any output of Meridian.</w:t>
      </w:r>
    </w:p>
    <w:p>
      <w:pPr>
        <w:spacing w:after="120"/>
      </w:pPr>
      <w:r>
        <w:rPr>
          <w:rFonts w:ascii="Arial" w:hAnsi="Arial"/>
          <w:b/>
          <w:i w:val="0"/>
          <w:sz w:val="20"/>
        </w:rPr>
        <w:t>LAWYER 8</w:t>
      </w:r>
      <w:r>
        <w:rPr>
          <w:rFonts w:ascii="Arial" w:hAnsi="Arial"/>
          <w:b w:val="0"/>
          <w:i w:val="0"/>
          <w:sz w:val="20"/>
        </w:rPr>
        <w:t>: the cap and the carve-outs are the solicitor's. Avia's instruction is that liability is capped at the fees paid in the twelve months before the claim, with the usual exclusions that cannot be limited.</w:t>
      </w:r>
    </w:p>
    <w:p>
      <w:pPr>
        <w:spacing w:before="200" w:after="60"/>
      </w:pPr>
      <w:r>
        <w:rPr>
          <w:rFonts w:ascii="Arial" w:hAnsi="Arial"/>
          <w:b/>
          <w:i w:val="0"/>
          <w:sz w:val="22"/>
        </w:rPr>
        <w:t>12. Data handling</w:t>
      </w:r>
    </w:p>
    <w:p>
      <w:pPr>
        <w:spacing w:after="120"/>
      </w:pPr>
      <w:r>
        <w:rPr>
          <w:rFonts w:ascii="Arial" w:hAnsi="Arial"/>
          <w:b w:val="0"/>
          <w:i w:val="0"/>
          <w:sz w:val="20"/>
        </w:rPr>
        <w:t>The Supplier stores no Client data. It stores the outputs Meridian generates, the routes run and the identity of the named user who ran them, on the Supplier's own infrastructure, for support and for improving the product. Nothing goes to a third party.</w:t>
      </w:r>
    </w:p>
    <w:p>
      <w:pPr>
        <w:spacing w:after="120"/>
      </w:pPr>
      <w:r>
        <w:rPr>
          <w:rFonts w:ascii="Arial" w:hAnsi="Arial"/>
          <w:b/>
          <w:i w:val="0"/>
          <w:sz w:val="20"/>
        </w:rPr>
        <w:t>LAWYER 9</w:t>
      </w:r>
      <w:r>
        <w:rPr>
          <w:rFonts w:ascii="Arial" w:hAnsi="Arial"/>
          <w:b w:val="0"/>
          <w:i w:val="0"/>
          <w:sz w:val="20"/>
        </w:rPr>
        <w:t>: the named users are identified people, so this needs the privacy wording and a view on whether a data processing agreement is required.</w:t>
      </w:r>
    </w:p>
    <w:p>
      <w:pPr>
        <w:spacing w:before="200" w:after="60"/>
      </w:pPr>
      <w:r>
        <w:rPr>
          <w:rFonts w:ascii="Arial" w:hAnsi="Arial"/>
          <w:b/>
          <w:i w:val="0"/>
          <w:sz w:val="22"/>
        </w:rPr>
        <w:t>13. Support</w:t>
      </w:r>
    </w:p>
    <w:p>
      <w:pPr>
        <w:spacing w:after="120"/>
      </w:pPr>
      <w:r>
        <w:rPr>
          <w:rFonts w:ascii="Arial" w:hAnsi="Arial"/>
          <w:b w:val="0"/>
          <w:i w:val="0"/>
          <w:sz w:val="20"/>
        </w:rPr>
        <w:t xml:space="preserve">The Client raises support at </w:t>
      </w:r>
      <w:r>
        <w:rPr>
          <w:rFonts w:ascii="Arial" w:hAnsi="Arial"/>
          <w:b/>
          <w:i w:val="0"/>
          <w:sz w:val="20"/>
        </w:rPr>
        <w:t>SLOT 8</w:t>
      </w:r>
      <w:r>
        <w:rPr>
          <w:rFonts w:ascii="Arial" w:hAnsi="Arial"/>
          <w:b w:val="0"/>
          <w:i w:val="0"/>
          <w:sz w:val="20"/>
        </w:rPr>
        <w:t xml:space="preserve"> (the support address, the person who reads it every working day, and the response time this clause promises. John staffs it; the promise is worth nothing without a name).</w:t>
      </w:r>
    </w:p>
    <w:p>
      <w:pPr>
        <w:spacing w:before="200" w:after="60"/>
      </w:pPr>
      <w:r>
        <w:rPr>
          <w:rFonts w:ascii="Arial" w:hAnsi="Arial"/>
          <w:b/>
          <w:i w:val="0"/>
          <w:sz w:val="22"/>
        </w:rPr>
        <w:t>14. Known issues</w:t>
      </w:r>
    </w:p>
    <w:p>
      <w:pPr>
        <w:spacing w:after="120"/>
      </w:pPr>
      <w:r>
        <w:rPr>
          <w:rFonts w:ascii="Arial" w:hAnsi="Arial"/>
          <w:b w:val="0"/>
          <w:i w:val="0"/>
          <w:sz w:val="20"/>
        </w:rPr>
        <w:t>The known-issues list current at signature is attached as the schedule to this agreement. The Supplier gives the Client an updated list at onboarding and tells the Client when it changes materially during the term.</w:t>
      </w:r>
    </w:p>
    <w:p>
      <w:pPr>
        <w:spacing w:before="200" w:after="60"/>
      </w:pPr>
      <w:r>
        <w:rPr>
          <w:rFonts w:ascii="Arial" w:hAnsi="Arial"/>
          <w:b/>
          <w:i w:val="0"/>
          <w:sz w:val="22"/>
        </w:rPr>
        <w:t>15. The Supplier ending or suspending the service</w:t>
      </w:r>
    </w:p>
    <w:p>
      <w:pPr>
        <w:spacing w:after="120"/>
      </w:pPr>
      <w:r>
        <w:rPr>
          <w:rFonts w:ascii="Arial" w:hAnsi="Arial"/>
          <w:b w:val="0"/>
          <w:i w:val="0"/>
          <w:sz w:val="20"/>
        </w:rPr>
        <w:t xml:space="preserve">The Supplier may end or suspend the service for any reason, including the loss or restriction of a licence to data on which Meridian depends. It gives </w:t>
      </w:r>
      <w:r>
        <w:rPr>
          <w:rFonts w:ascii="Arial" w:hAnsi="Arial"/>
          <w:b/>
          <w:i w:val="0"/>
          <w:sz w:val="20"/>
        </w:rPr>
        <w:t>SLOT 9</w:t>
      </w:r>
      <w:r>
        <w:rPr>
          <w:rFonts w:ascii="Arial" w:hAnsi="Arial"/>
          <w:b w:val="0"/>
          <w:i w:val="0"/>
          <w:sz w:val="20"/>
        </w:rPr>
        <w:t xml:space="preserve"> (the notice period. The controller's draft is three months; John rules it) months' notice where it is able to. It refunds the unused part of the year's fee, calculated to the day, within 30 days. The Client keeps every output already delivered and may continue to use it under clause 9. Neither party has any further liability to the other.</w:t>
      </w:r>
    </w:p>
    <w:p>
      <w:pPr>
        <w:spacing w:after="120"/>
      </w:pPr>
      <w:r>
        <w:rPr>
          <w:rFonts w:ascii="Arial" w:hAnsi="Arial"/>
          <w:b/>
          <w:i w:val="0"/>
          <w:sz w:val="20"/>
        </w:rPr>
        <w:t>LAWYER 10</w:t>
      </w:r>
      <w:r>
        <w:rPr>
          <w:rFonts w:ascii="Arial" w:hAnsi="Arial"/>
          <w:b w:val="0"/>
          <w:i w:val="0"/>
          <w:sz w:val="20"/>
        </w:rPr>
        <w:t>: John's instruction is that the solicitor drafts this clause. The data-licence trigger is named expressly. "Where it is able to" needs wording that does not make the notice period meaningless.</w:t>
      </w:r>
    </w:p>
    <w:p>
      <w:pPr>
        <w:spacing w:before="200" w:after="60"/>
      </w:pPr>
      <w:r>
        <w:rPr>
          <w:rFonts w:ascii="Arial" w:hAnsi="Arial"/>
          <w:b/>
          <w:i w:val="0"/>
          <w:sz w:val="22"/>
        </w:rPr>
        <w:t>16. Termination</w:t>
      </w:r>
    </w:p>
    <w:p>
      <w:pPr>
        <w:spacing w:after="120"/>
      </w:pPr>
      <w:r>
        <w:rPr>
          <w:rFonts w:ascii="Arial" w:hAnsi="Arial"/>
          <w:b/>
          <w:i w:val="0"/>
          <w:sz w:val="20"/>
        </w:rPr>
        <w:t>LAWYER 13</w:t>
      </w:r>
      <w:r>
        <w:rPr>
          <w:rFonts w:ascii="Arial" w:hAnsi="Arial"/>
          <w:b w:val="0"/>
          <w:i w:val="0"/>
          <w:sz w:val="20"/>
        </w:rPr>
        <w:t>: termination for material breach and for insolvency, what happens to fees already paid, and what survives. Avia's instruction is that outputs already generated remain the Client's to use under clause 9.</w:t>
      </w:r>
    </w:p>
    <w:p>
      <w:pPr>
        <w:spacing w:before="200" w:after="60"/>
      </w:pPr>
      <w:r>
        <w:rPr>
          <w:rFonts w:ascii="Arial" w:hAnsi="Arial"/>
          <w:b/>
          <w:i w:val="0"/>
          <w:sz w:val="22"/>
        </w:rPr>
        <w:t>17. Governing law</w:t>
      </w:r>
    </w:p>
    <w:p>
      <w:pPr>
        <w:spacing w:after="120"/>
      </w:pPr>
      <w:r>
        <w:rPr>
          <w:rFonts w:ascii="Arial" w:hAnsi="Arial"/>
          <w:b w:val="0"/>
          <w:i w:val="0"/>
          <w:sz w:val="20"/>
        </w:rPr>
        <w:t>This agreement is governed by the law of England and Wales, and the courts of England and Wales have exclusive jurisdiction.</w:t>
      </w:r>
    </w:p>
    <w:p>
      <w:pPr>
        <w:spacing w:before="200" w:after="60"/>
      </w:pPr>
      <w:r>
        <w:rPr>
          <w:rFonts w:ascii="Arial" w:hAnsi="Arial"/>
          <w:b/>
          <w:i w:val="0"/>
          <w:sz w:val="22"/>
        </w:rPr>
        <w:t>Points for the solicitor, in one list</w:t>
      </w:r>
    </w:p>
    <w:p>
      <w:pPr>
        <w:pStyle w:val="ListNumber"/>
        <w:spacing w:after="40"/>
      </w:pPr>
      <w:r>
        <w:rPr>
          <w:rFonts w:ascii="Arial" w:hAnsi="Arial"/>
          <w:b w:val="0"/>
          <w:i w:val="0"/>
          <w:sz w:val="20"/>
        </w:rPr>
        <w:t>Seat reassignment and use beyond the named seats (clause 2).</w:t>
      </w:r>
    </w:p>
    <w:p>
      <w:pPr>
        <w:pStyle w:val="ListNumber"/>
        <w:spacing w:after="40"/>
      </w:pPr>
      <w:r>
        <w:rPr>
          <w:rFonts w:ascii="Arial" w:hAnsi="Arial"/>
          <w:b w:val="0"/>
          <w:i w:val="0"/>
          <w:sz w:val="20"/>
        </w:rPr>
        <w:t>The procurement-rules declaration that switches off automatic renewal (clause 3).</w:t>
      </w:r>
    </w:p>
    <w:p>
      <w:pPr>
        <w:pStyle w:val="ListNumber"/>
        <w:spacing w:after="40"/>
      </w:pPr>
      <w:r>
        <w:rPr>
          <w:rFonts w:ascii="Arial" w:hAnsi="Arial"/>
          <w:b w:val="0"/>
          <w:i w:val="0"/>
          <w:sz w:val="20"/>
        </w:rPr>
        <w:t>Defining "the published standard price" for year 4 (clause 4).</w:t>
      </w:r>
    </w:p>
    <w:p>
      <w:pPr>
        <w:pStyle w:val="ListNumber"/>
        <w:spacing w:after="40"/>
      </w:pPr>
      <w:r>
        <w:rPr>
          <w:rFonts w:ascii="Arial" w:hAnsi="Arial"/>
          <w:b w:val="0"/>
          <w:i w:val="0"/>
          <w:sz w:val="20"/>
        </w:rPr>
        <w:t>Drafting the launch years as an express exception to escalation (clause 5).</w:t>
      </w:r>
    </w:p>
    <w:p>
      <w:pPr>
        <w:pStyle w:val="ListNumber"/>
        <w:spacing w:after="40"/>
      </w:pPr>
      <w:r>
        <w:rPr>
          <w:rFonts w:ascii="Arial" w:hAnsi="Arial"/>
          <w:b w:val="0"/>
          <w:i w:val="0"/>
          <w:sz w:val="20"/>
        </w:rPr>
        <w:t>A core-price increase above the agreed mechanism, and whether it holds (clause 6).</w:t>
      </w:r>
    </w:p>
    <w:p>
      <w:pPr>
        <w:pStyle w:val="ListNumber"/>
        <w:spacing w:after="40"/>
      </w:pPr>
      <w:r>
        <w:rPr>
          <w:rFonts w:ascii="Arial" w:hAnsi="Arial"/>
          <w:b w:val="0"/>
          <w:i w:val="0"/>
          <w:sz w:val="20"/>
        </w:rPr>
        <w:t>Interest on late payment and suspension for non-payment (clause 7).</w:t>
      </w:r>
    </w:p>
    <w:p>
      <w:pPr>
        <w:pStyle w:val="ListNumber"/>
        <w:spacing w:after="40"/>
      </w:pPr>
      <w:r>
        <w:rPr>
          <w:rFonts w:ascii="Arial" w:hAnsi="Arial"/>
          <w:b w:val="0"/>
          <w:i w:val="0"/>
          <w:sz w:val="20"/>
        </w:rPr>
        <w:t>Third-party data warranties, and the position if OAG or Sabre restricts sharing (clause 9).</w:t>
      </w:r>
    </w:p>
    <w:p>
      <w:pPr>
        <w:pStyle w:val="ListNumber"/>
        <w:spacing w:after="40"/>
      </w:pPr>
      <w:r>
        <w:rPr>
          <w:rFonts w:ascii="Arial" w:hAnsi="Arial"/>
          <w:b w:val="0"/>
          <w:i w:val="0"/>
          <w:sz w:val="20"/>
        </w:rPr>
        <w:t>Liability cap and the exclusions that cannot be limited (clause 11).</w:t>
      </w:r>
    </w:p>
    <w:p>
      <w:pPr>
        <w:pStyle w:val="ListNumber"/>
        <w:spacing w:after="40"/>
      </w:pPr>
      <w:r>
        <w:rPr>
          <w:rFonts w:ascii="Arial" w:hAnsi="Arial"/>
          <w:b w:val="0"/>
          <w:i w:val="0"/>
          <w:sz w:val="20"/>
        </w:rPr>
        <w:t>Privacy wording for the named users, and whether a data processing agreement is needed (clause 12).</w:t>
      </w:r>
    </w:p>
    <w:p>
      <w:pPr>
        <w:pStyle w:val="ListNumber"/>
        <w:spacing w:after="40"/>
      </w:pPr>
      <w:r>
        <w:rPr>
          <w:rFonts w:ascii="Arial" w:hAnsi="Arial"/>
          <w:b w:val="0"/>
          <w:i w:val="0"/>
          <w:sz w:val="20"/>
        </w:rPr>
        <w:t>The Supplier ending or suspending the service, which John asked the solicitor to draft (clause 15).</w:t>
      </w:r>
    </w:p>
    <w:p>
      <w:pPr>
        <w:pStyle w:val="ListNumber"/>
        <w:spacing w:after="40"/>
      </w:pPr>
      <w:r>
        <w:rPr>
          <w:rFonts w:ascii="Arial" w:hAnsi="Arial"/>
          <w:b w:val="0"/>
          <w:i w:val="0"/>
          <w:sz w:val="20"/>
        </w:rPr>
        <w:t>Use of the Client's name and brand in Avia's marketing (clause 8).</w:t>
      </w:r>
    </w:p>
    <w:p>
      <w:pPr>
        <w:pStyle w:val="ListNumber"/>
        <w:spacing w:after="40"/>
      </w:pPr>
      <w:r>
        <w:rPr>
          <w:rFonts w:ascii="Arial" w:hAnsi="Arial"/>
          <w:b w:val="0"/>
          <w:i w:val="0"/>
          <w:sz w:val="20"/>
        </w:rPr>
        <w:t>Automatic renewal in a business-to-business contract, and the notice periods (clause 3).</w:t>
      </w:r>
    </w:p>
    <w:p>
      <w:pPr>
        <w:pStyle w:val="ListNumber"/>
        <w:spacing w:after="40"/>
      </w:pPr>
      <w:r>
        <w:rPr>
          <w:rFonts w:ascii="Arial" w:hAnsi="Arial"/>
          <w:b w:val="0"/>
          <w:i w:val="0"/>
          <w:sz w:val="20"/>
        </w:rPr>
        <w:t>Termination and what survives it (clause 16).</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595959"/>
        <w:sz w:val="16"/>
      </w:rPr>
      <w:t xml:space="preserve">- DRAFT -   </w:t>
    </w:r>
    <w:r>
      <w:rPr>
        <w:rFonts w:ascii="Arial" w:hAnsi="Arial"/>
        <w:b w:val="0"/>
        <w:i w:val="0"/>
        <w:color w:val="595959"/>
        <w:sz w:val="16"/>
      </w:rPr>
      <w:t xml:space="preserve">P: </w:t>
    </w:r>
    <w:r>
      <w:rPr>
        <w:rFonts w:ascii="Arial" w:hAnsi="Arial"/>
        <w:color w:val="595959"/>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licence agreement, draft v0.2</dc:title>
  <dc:subject/>
  <dc:creator>Avia Solutions</dc:creator>
  <cp:keywords/>
  <dc:description>DRAFT for legal review, not for issue to a client</dc:description>
  <cp:lastModifiedBy>Avia Solutions</cp:lastModifiedBy>
  <cp:revision>1</cp:revision>
  <dcterms:created xsi:type="dcterms:W3CDTF">2013-12-23T23:15:00Z</dcterms:created>
  <dcterms:modified xsi:type="dcterms:W3CDTF">2013-12-23T23:15:00Z</dcterms:modified>
  <cp:category>Meridian, World Routes 2026</cp:category>
</cp:coreProperties>
</file>