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Meridian</w:t>
      </w:r>
    </w:p>
    <w:p>
      <w:pPr>
        <w:spacing w:after="40"/>
      </w:pPr>
      <w:r>
        <w:rPr>
          <w:rFonts w:ascii="Arial" w:cs="Arial" w:eastAsia="Arial" w:hAnsi="Arial"/>
          <w:color w:val="2E5395"/>
          <w:sz w:val="26"/>
          <w:szCs w:val="26"/>
        </w:rPr>
        <w:t xml:space="preserve">Four questions: the client view, the departure chart, PaxUp, and pricing</w:t>
      </w:r>
    </w:p>
    <w:p>
      <w:pPr>
        <w:spacing w:after="320"/>
      </w:pPr>
      <w:r>
        <w:rPr>
          <w:rFonts w:ascii="Arial" w:cs="Arial" w:eastAsia="Arial" w:hAnsi="Arial"/>
          <w:color w:val="666666"/>
          <w:sz w:val="19"/>
          <w:szCs w:val="19"/>
        </w:rPr>
        <w:t xml:space="preserve">Working note for John Carter - Version 1.0, 15 August 2026 - Fable</w:t>
      </w:r>
    </w:p>
    <w:p>
      <w:pPr>
        <w:pStyle w:val="Heading1"/>
        <w:spacing w:after="160" w:before="320"/>
      </w:pPr>
      <w:r>
        <w:rPr>
          <w:rFonts w:ascii="Arial" w:cs="Arial" w:eastAsia="Arial" w:hAnsi="Arial"/>
          <w:b/>
          <w:bCs/>
          <w:color w:val="1F3864"/>
          <w:sz w:val="26"/>
          <w:szCs w:val="26"/>
        </w:rPr>
        <w:t xml:space="preserve">1. The easy view: what is missing, what is redundant</w:t>
      </w:r>
    </w:p>
    <w:p>
      <w:pPr>
        <w:spacing w:after="160" w:line="276"/>
      </w:pPr>
      <w:r>
        <w:rPr>
          <w:rFonts w:ascii="Arial" w:cs="Arial" w:eastAsia="Arial" w:hAnsi="Arial"/>
          <w:sz w:val="21"/>
          <w:szCs w:val="21"/>
        </w:rPr>
        <w:t xml:space="preserve">The easy view today takes origin, destination, airline, carrier type, aircraft (with size-to-demand), frequency (blank optimises), schedule season, departure time, a curfew at each end, forecast year, the connectivity floor, partner carriers and the output format. That is close to right, and the curfew boxes in the plain view are a strength no rival markets. Three additions would serve a client without sending them into Expert mode, and two things in the plain view belong elsewhere.</w:t>
      </w:r>
    </w:p>
    <w:p>
      <w:pPr>
        <w:pStyle w:val="Heading2"/>
        <w:spacing w:after="120" w:before="240"/>
      </w:pPr>
      <w:r>
        <w:rPr>
          <w:rFonts w:ascii="Arial" w:cs="Arial" w:eastAsia="Arial" w:hAnsi="Arial"/>
          <w:b/>
          <w:bCs/>
          <w:color w:val="2E5395"/>
          <w:sz w:val="22"/>
          <w:szCs w:val="22"/>
        </w:rPr>
        <w:t xml:space="preserve">Worth adding to the easy view</w:t>
      </w:r>
    </w:p>
    <w:p>
      <w:pPr>
        <w:spacing w:after="160" w:line="276"/>
      </w:pPr>
      <w:r>
        <w:rPr>
          <w:rFonts w:ascii="Arial" w:cs="Arial" w:eastAsia="Arial" w:hAnsi="Arial"/>
          <w:b/>
          <w:bCs/>
          <w:sz w:val="21"/>
          <w:szCs w:val="21"/>
        </w:rPr>
        <w:t xml:space="preserve">A seat count beside the aircraft box. </w:t>
      </w:r>
      <w:r>
        <w:rPr>
          <w:rFonts w:ascii="Arial" w:cs="Arial" w:eastAsia="Arial" w:hAnsi="Arial"/>
          <w:sz w:val="21"/>
          <w:szCs w:val="21"/>
        </w:rPr>
        <w:t xml:space="preserve">The engine already takes a seats override and the schedule line now states the seat count and its source, but the client cannot set it without the API. A box pre-filled from the named carrier's own configuration, showing where the figure came from, completes the loop the 14-15 August seats work opened. Small build, high credibility: gauge and cabin are the first things an airline corrects.</w:t>
      </w:r>
    </w:p>
    <w:p>
      <w:pPr>
        <w:spacing w:after="160" w:line="276"/>
      </w:pPr>
      <w:r>
        <w:rPr>
          <w:rFonts w:ascii="Arial" w:cs="Arial" w:eastAsia="Arial" w:hAnsi="Arial"/>
          <w:b/>
          <w:bCs/>
          <w:sz w:val="21"/>
          <w:szCs w:val="21"/>
        </w:rPr>
        <w:t xml:space="preserve">A display currency choice. </w:t>
      </w:r>
      <w:r>
        <w:rPr>
          <w:rFonts w:ascii="Arial" w:cs="Arial" w:eastAsia="Arial" w:hAnsi="Arial"/>
          <w:sz w:val="21"/>
          <w:szCs w:val="21"/>
        </w:rPr>
        <w:t xml:space="preserve">The economics are USD throughout. A European airport board reads a euro P&amp;L; the house rule is currency follows the asset. A report-currency selector with a dated rate is presentation, not modelling, and was flagged in the 6 July review (S10). It matters more once European beta airports are in.</w:t>
      </w:r>
    </w:p>
    <w:p>
      <w:pPr>
        <w:spacing w:after="160" w:line="276"/>
      </w:pPr>
      <w:r>
        <w:rPr>
          <w:rFonts w:ascii="Arial" w:cs="Arial" w:eastAsia="Arial" w:hAnsi="Arial"/>
          <w:b/>
          <w:bCs/>
          <w:sz w:val="21"/>
          <w:szCs w:val="21"/>
        </w:rPr>
        <w:t xml:space="preserve">A stimulation posture, in words. </w:t>
      </w:r>
      <w:r>
        <w:rPr>
          <w:rFonts w:ascii="Arial" w:cs="Arial" w:eastAsia="Arial" w:hAnsi="Arial"/>
          <w:sz w:val="21"/>
          <w:szCs w:val="21"/>
        </w:rPr>
        <w:t xml:space="preserve">Stimulation is a headline conversation in every airline meeting, and today it lives only as an Expert number. A three-way chip in plain language (conservative, standard by carrier type, aggressive) with the factor displayed would let a non-analyst run the sensitivity that most changes a marginal case. The Expert box stays for exact values.</w:t>
      </w:r>
    </w:p>
    <w:p>
      <w:pPr>
        <w:pStyle w:val="Heading2"/>
        <w:spacing w:after="120" w:before="240"/>
      </w:pPr>
      <w:r>
        <w:rPr>
          <w:rFonts w:ascii="Arial" w:cs="Arial" w:eastAsia="Arial" w:hAnsi="Arial"/>
          <w:b/>
          <w:bCs/>
          <w:color w:val="2E5395"/>
          <w:sz w:val="22"/>
          <w:szCs w:val="22"/>
        </w:rPr>
        <w:t xml:space="preserve">Redundant or mis-placed</w:t>
      </w:r>
    </w:p>
    <w:p>
      <w:pPr>
        <w:spacing w:after="160" w:line="276"/>
      </w:pPr>
      <w:r>
        <w:rPr>
          <w:rFonts w:ascii="Arial" w:cs="Arial" w:eastAsia="Arial" w:hAnsi="Arial"/>
          <w:b/>
          <w:bCs/>
          <w:sz w:val="21"/>
          <w:szCs w:val="21"/>
        </w:rPr>
        <w:t xml:space="preserve">The connectivity floor toggle </w:t>
      </w:r>
      <w:r>
        <w:rPr>
          <w:rFonts w:ascii="Arial" w:cs="Arial" w:eastAsia="Arial" w:hAnsi="Arial"/>
          <w:sz w:val="21"/>
          <w:szCs w:val="21"/>
        </w:rPr>
        <w:t xml:space="preserve">is an engineering switch wearing client clothes; "On (as shipped)" against "Off (QSI feed only)" is internal language. Move it to Expert mode and let the pack state the setting, as it now does.</w:t>
      </w:r>
    </w:p>
    <w:p>
      <w:pPr>
        <w:spacing w:after="160" w:line="276"/>
      </w:pPr>
      <w:r>
        <w:rPr>
          <w:rFonts w:ascii="Arial" w:cs="Arial" w:eastAsia="Arial" w:hAnsi="Arial"/>
          <w:b/>
          <w:bCs/>
          <w:sz w:val="21"/>
          <w:szCs w:val="21"/>
        </w:rPr>
        <w:t xml:space="preserve">Expert mode mixes two different kinds of number. </w:t>
      </w:r>
      <w:r>
        <w:rPr>
          <w:rFonts w:ascii="Arial" w:cs="Arial" w:eastAsia="Arial" w:hAnsi="Arial"/>
          <w:sz w:val="21"/>
          <w:szCs w:val="21"/>
        </w:rPr>
        <w:t xml:space="preserve">Market size, capture share, stimulation, growth, start year, cabin share and plan LF are judgement inputs an analyst legitimately owns. The connection coefficients, hub-dominance gain and floor, behind capture, circuity and the indirect factor are calibration constants: a client who edits them is detuning the calibrated engine, and the same page invites both. Keep everything overridable, in line with the house rule, but split the panel into Judgement and Calibration groups with the calibration group behind one confirming click and a note that these values are set by the back-test.</w:t>
      </w:r>
    </w:p>
    <w:p>
      <w:pPr>
        <w:spacing w:after="160" w:line="276"/>
      </w:pPr>
      <w:r>
        <w:rPr>
          <w:rFonts w:ascii="Arial" w:cs="Arial" w:eastAsia="Arial" w:hAnsi="Arial"/>
          <w:sz w:val="21"/>
          <w:szCs w:val="21"/>
        </w:rPr>
        <w:t xml:space="preserve">One housekeeping item found while looking: the Economy cabin share placeholder still reads 0.85, and since the 15 August fix the default is the measured split for the market. The placeholder should say measured.</w:t>
      </w:r>
    </w:p>
    <w:p>
      <w:pPr>
        <w:pStyle w:val="Heading1"/>
        <w:spacing w:after="160" w:before="320"/>
      </w:pPr>
      <w:r>
        <w:rPr>
          <w:rFonts w:ascii="Arial" w:cs="Arial" w:eastAsia="Arial" w:hAnsi="Arial"/>
          <w:b/>
          <w:bCs/>
          <w:color w:val="1F3864"/>
          <w:sz w:val="26"/>
          <w:szCs w:val="26"/>
        </w:rPr>
        <w:t xml:space="preserve">2. The departure-time demand chart</w:t>
      </w:r>
    </w:p>
    <w:p>
      <w:pPr>
        <w:spacing w:after="160" w:line="276"/>
      </w:pPr>
      <w:r>
        <w:rPr>
          <w:rFonts w:ascii="Arial" w:cs="Arial" w:eastAsia="Arial" w:hAnsi="Arial"/>
          <w:sz w:val="21"/>
          <w:szCs w:val="21"/>
        </w:rPr>
        <w:t xml:space="preserve">Yes to the chart, without hesitation. It is the one picture that turns a curfew argument or a bank-timing argument into a conversation about numbers, and since 14 August it draws the two series that matter (route total carried and connecting demand, both two-way), the aircraft ceiling where it binds, the chosen and unrestricted departures, blocked departures under a curfew, and a note when the total is flat because the aeroplane rather than the market is the constraint. The 2025 analyst deck asserted that a schedule mitigates the curfew and stated no figure; this chart carries the figure. Keep it. Four improvements, in order of value:</w:t>
      </w:r>
    </w:p>
    <w:p>
      <w:pPr>
        <w:spacing w:after="160" w:line="276"/>
      </w:pPr>
      <w:r>
        <w:rPr>
          <w:rFonts w:ascii="Arial" w:cs="Arial" w:eastAsia="Arial" w:hAnsi="Arial"/>
          <w:b/>
          <w:bCs/>
          <w:sz w:val="21"/>
          <w:szCs w:val="21"/>
        </w:rPr>
        <w:t xml:space="preserve">Shade the point to point explicitly. </w:t>
      </w:r>
      <w:r>
        <w:rPr>
          <w:rFonts w:ascii="Arial" w:cs="Arial" w:eastAsia="Arial" w:hAnsi="Arial"/>
          <w:sz w:val="21"/>
          <w:szCs w:val="21"/>
        </w:rPr>
        <w:t xml:space="preserve">The gap between the total line and the connecting line is the P2P mix, but a reader should not have to do the subtraction. A light shaded band labelled point to point makes the mix visible at a glance, and on a capacity-bound route it shows connecting crowding P2P out as the departure moves, which is exactly the trade the chart exists to expose.</w:t>
      </w:r>
    </w:p>
    <w:p>
      <w:pPr>
        <w:spacing w:after="160" w:line="276"/>
      </w:pPr>
      <w:r>
        <w:rPr>
          <w:rFonts w:ascii="Arial" w:cs="Arial" w:eastAsia="Arial" w:hAnsi="Arial"/>
          <w:b/>
          <w:bCs/>
          <w:sz w:val="21"/>
          <w:szCs w:val="21"/>
        </w:rPr>
        <w:t xml:space="preserve">Shade the curfew windows. </w:t>
      </w:r>
      <w:r>
        <w:rPr>
          <w:rFonts w:ascii="Arial" w:cs="Arial" w:eastAsia="Arial" w:hAnsi="Arial"/>
          <w:sz w:val="21"/>
          <w:szCs w:val="21"/>
        </w:rPr>
        <w:t xml:space="preserve">Blocked departures are dots today; a shaded band across the restricted hours, labelled with the window, reads instantly and matches how airport people think about curfews.</w:t>
      </w:r>
    </w:p>
    <w:p>
      <w:pPr>
        <w:spacing w:after="160" w:line="276"/>
      </w:pPr>
      <w:r>
        <w:rPr>
          <w:rFonts w:ascii="Arial" w:cs="Arial" w:eastAsia="Arial" w:hAnsi="Arial"/>
          <w:b/>
          <w:bCs/>
          <w:sz w:val="21"/>
          <w:szCs w:val="21"/>
        </w:rPr>
        <w:t xml:space="preserve">Let the chart stand alone. </w:t>
      </w:r>
      <w:r>
        <w:rPr>
          <w:rFonts w:ascii="Arial" w:cs="Arial" w:eastAsia="Arial" w:hAnsi="Arial"/>
          <w:sz w:val="21"/>
          <w:szCs w:val="21"/>
        </w:rPr>
        <w:t xml:space="preserve">House rule: unit, period and basis on the chart itself. It has pax/yr; it needs the forecast year, the word forecast, and two-way stated in the title block rather than only in the legend, so a screenshot pasted into an email cannot mislead.</w:t>
      </w:r>
    </w:p>
    <w:p>
      <w:pPr>
        <w:spacing w:after="160" w:line="276"/>
      </w:pPr>
      <w:r>
        <w:rPr>
          <w:rFonts w:ascii="Arial" w:cs="Arial" w:eastAsia="Arial" w:hAnsi="Arial"/>
          <w:b/>
          <w:bCs/>
          <w:sz w:val="21"/>
          <w:szCs w:val="21"/>
        </w:rPr>
        <w:t xml:space="preserve">One sentence of method honesty under the chart. </w:t>
      </w:r>
      <w:r>
        <w:rPr>
          <w:rFonts w:ascii="Arial" w:cs="Arial" w:eastAsia="Arial" w:hAnsi="Arial"/>
          <w:sz w:val="21"/>
          <w:szCs w:val="21"/>
        </w:rPr>
        <w:t xml:space="preserve">Suggested caption: "Local demand does not vary with departure time in this model; the curve moves through connection quality at both ends, scored on the outbound departure. Where the total is flat, the aircraft is full and the departure time changes the mix, not the total." That pre-empts the two questions a sharp planner asks, and it is the honest statement of the current one-direction scoring until the return-scoring build lands.</w:t>
      </w:r>
    </w:p>
    <w:p>
      <w:pPr>
        <w:pStyle w:val="Heading1"/>
        <w:spacing w:after="160" w:before="320"/>
      </w:pPr>
      <w:r>
        <w:rPr>
          <w:rFonts w:ascii="Arial" w:cs="Arial" w:eastAsia="Arial" w:hAnsi="Arial"/>
          <w:b/>
          <w:bCs/>
          <w:color w:val="1F3864"/>
          <w:sz w:val="26"/>
          <w:szCs w:val="26"/>
        </w:rPr>
        <w:t xml:space="preserve">3. PaxUp: what they are, what they have, what we hold</w:t>
      </w:r>
    </w:p>
    <w:p>
      <w:pPr>
        <w:spacing w:after="160" w:line="276"/>
      </w:pPr>
      <w:r>
        <w:rPr>
          <w:rFonts w:ascii="Arial" w:cs="Arial" w:eastAsia="Arial" w:hAnsi="Arial"/>
          <w:sz w:val="21"/>
          <w:szCs w:val="21"/>
        </w:rPr>
        <w:t xml:space="preserve">Researched from public sources this afternoon; I have no access to the product itself, so this is their marketing and press against our build, not a hands-on trial. The headline: PaxUp is a bigger fact than we had it filed under, and also a validation of several of our choices.</w:t>
      </w:r>
    </w:p>
    <w:p>
      <w:pPr>
        <w:pStyle w:val="Heading2"/>
        <w:spacing w:after="120" w:before="240"/>
      </w:pPr>
      <w:r>
        <w:rPr>
          <w:rFonts w:ascii="Arial" w:cs="Arial" w:eastAsia="Arial" w:hAnsi="Arial"/>
          <w:b/>
          <w:bCs/>
          <w:color w:val="2E5395"/>
          <w:sz w:val="22"/>
          <w:szCs w:val="22"/>
        </w:rPr>
        <w:t xml:space="preserve">The facts</w:t>
      </w:r>
    </w:p>
    <w:p>
      <w:pPr>
        <w:spacing w:after="160" w:line="276"/>
      </w:pPr>
      <w:r>
        <w:rPr>
          <w:rFonts w:ascii="Arial" w:cs="Arial" w:eastAsia="Arial" w:hAnsi="Arial"/>
          <w:sz w:val="21"/>
          <w:szCs w:val="21"/>
        </w:rPr>
        <w:t xml:space="preserve">PaxUp Aviation Insights GmbH, Karlsruhe. Brand launched July 2025, platform live 1 October 2025 with Munich as launch customer; debuted at Routes World 2025 in Hong Kong. Team of well under ten, pre-seed funded (L-Bank led), positioning openly into the vacuum left by BEONTRA's discontinued route forecasting. In roughly ten months they name circa twenty customers on the site, including Munich, Copenhagen, Berlin, Dusseldorf, Hamburg, Sydney, Perth, Brisbane, Adelaide, Finavia, CVG, ACSA and one consultancy (Egis, for three managed airports). Cloud SaaS, EU-hosted, nothing to install, workspace in days. Data is fully bundled: Sabre Global Demand Data with ten years of history, OAG schedules under a formal collaboration announced September 2025, ch-aviation fleet and airline financials added May 2026, no client data licences needed. Five modules: O&amp;D and route performance analysis, leakage analysis, market share estimation (marketed as going beyond traditional QSI to a peer-based method on comparable routes), connectivity and hub bank analysis with suggested arrival and departure windows, and route case creation with monthly load factor, fare and revenue projections plus scenario modelling on frequency, aircraft and schedule pattern. No published pricing. No published accuracy figure, back-test or validation of any kind: their differentiation claim is transparency and editability.</w:t>
      </w:r>
    </w:p>
    <w:p>
      <w:pPr>
        <w:spacing w:after="200"/>
      </w:pPr>
      <w:r>
        <w:rPr>
          <w:rFonts w:ascii="Arial" w:cs="Arial" w:eastAsia="Arial" w:hAnsi="Arial"/>
          <w:i/>
          <w:iCs/>
          <w:color w:val="666666"/>
          <w:sz w:val="17"/>
          <w:szCs w:val="17"/>
        </w:rPr>
        <w:t xml:space="preserve">Sources: paxup.com; pr.com press release 9 Jul 2025; Routes supplier profile and 18 news items; Crunchbase; OAG and ch-aviation announcements. URLs held in the session research note.</w:t>
      </w:r>
    </w:p>
    <w:p>
      <w:pPr>
        <w:pStyle w:val="Heading2"/>
        <w:spacing w:after="120" w:before="240"/>
      </w:pPr>
      <w:r>
        <w:rPr>
          <w:rFonts w:ascii="Arial" w:cs="Arial" w:eastAsia="Arial" w:hAnsi="Arial"/>
          <w:b/>
          <w:bCs/>
          <w:color w:val="2E5395"/>
          <w:sz w:val="22"/>
          <w:szCs w:val="22"/>
        </w:rPr>
        <w:t xml:space="preserve">What they have that we do not</w:t>
      </w:r>
    </w:p>
    <w:p>
      <w:pPr>
        <w:spacing w:after="160" w:line="276"/>
      </w:pPr>
      <w:r>
        <w:rPr>
          <w:rFonts w:ascii="Arial" w:cs="Arial" w:eastAsia="Arial" w:hAnsi="Arial"/>
          <w:sz w:val="21"/>
          <w:szCs w:val="21"/>
        </w:rPr>
        <w:t xml:space="preserve">Existing-route performance monitoring as a product surface: load factors, fares, revenues and flow types on routes an airport already has. Meridian forecasts new routes; the monitoring habit is what keeps a subscription opened every week, and it is mostly packaging over data we already hold. Monthly resolution in outputs, where our seasonal mode still runs on an assumed profile pending the monthly Sabre pull; that item was already launch-blocking in the GTM plan and PaxUp makes it more so. Bridge traffic (behind-origin to beyond-destination flows) as a marketed fourth flow type; we model beyond and behind only. Fleet and airline financial context from ch-aviation. And the operating model itself: multi-tenant EU-hosted SaaS with bundled data, workspace in days, no installation conversation at all.</w:t>
      </w:r>
    </w:p>
    <w:p>
      <w:pPr>
        <w:pStyle w:val="Heading2"/>
        <w:spacing w:after="120" w:before="240"/>
      </w:pPr>
      <w:r>
        <w:rPr>
          <w:rFonts w:ascii="Arial" w:cs="Arial" w:eastAsia="Arial" w:hAnsi="Arial"/>
          <w:b/>
          <w:bCs/>
          <w:color w:val="2E5395"/>
          <w:sz w:val="22"/>
          <w:szCs w:val="22"/>
        </w:rPr>
        <w:t xml:space="preserve">What we hold that they do not</w:t>
      </w:r>
    </w:p>
    <w:p>
      <w:pPr>
        <w:spacing w:after="160" w:line="276"/>
      </w:pPr>
      <w:r>
        <w:rPr>
          <w:rFonts w:ascii="Arial" w:cs="Arial" w:eastAsia="Arial" w:hAnsi="Arial"/>
          <w:sz w:val="21"/>
          <w:szCs w:val="21"/>
        </w:rPr>
        <w:t xml:space="preserve">A graded accuracy programme. They publish no back-test, no error band, no validation study; we hold six years of graded launches, a published claim set, a track-record page and a blind forward test. In a market where every vendor says trusted and transparent, "ask any vendor to show you their back-test" is a question only we want asked. A cost side: their route case carries revenue potential; our route P&amp;L carries fuel, crew, ownership, charges with provenance, spill, breakeven and the curfew cost figure no one else computes. Deck generation to a format a client has already accepted. US DOT census data leading the US market, which is a specific door-opener PaxUp does not market. Curfew-aware re-optimisation. And twenty-five years of method pedigree with expert-witness standing behind it, against a one-year-old startup, which matters in exactly the procurement conversations where forecasts get challenged.</w:t>
      </w:r>
    </w:p>
    <w:p>
      <w:pPr>
        <w:pStyle w:val="Heading2"/>
        <w:spacing w:after="120" w:before="240"/>
      </w:pPr>
      <w:r>
        <w:rPr>
          <w:rFonts w:ascii="Arial" w:cs="Arial" w:eastAsia="Arial" w:hAnsi="Arial"/>
          <w:b/>
          <w:bCs/>
          <w:color w:val="2E5395"/>
          <w:sz w:val="22"/>
          <w:szCs w:val="22"/>
        </w:rPr>
        <w:t xml:space="preserve">What it means</w:t>
      </w:r>
    </w:p>
    <w:p>
      <w:pPr>
        <w:spacing w:after="160" w:line="276"/>
      </w:pPr>
      <w:r>
        <w:rPr>
          <w:rFonts w:ascii="Arial" w:cs="Arial" w:eastAsia="Arial" w:hAnsi="Arial"/>
          <w:sz w:val="21"/>
          <w:szCs w:val="21"/>
        </w:rPr>
        <w:t xml:space="preserve">First, the market is proven and moving: twenty airports in ten months, several of them majors, into the BEONTRA vacuum. Waiting costs share monthly, which supports showing at Routes and launching in November rather than polishing further. Second, their bundled Sabre and OAG arrangement proves the data vendors will licence redistribution to a small platform on startup-viable terms; that materially de-risks the bundled-data hosted model in our own plan and makes the redistribution quote the single most valuable commercial fact to obtain this month. Third, their method story (peer routes, editable assumptions, no fixed formula) is pitched squarely at the same discomfort with black boxes we address with measurement; the difference is we can prove ours. The counter-position writes itself and should be quantitative, in the house manner: their page says trusted, ours shows the distribution.</w:t>
      </w:r>
    </w:p>
    <w:p>
      <w:pPr>
        <w:pStyle w:val="Heading1"/>
        <w:spacing w:after="160" w:before="320"/>
      </w:pPr>
      <w:r>
        <w:rPr>
          <w:rFonts w:ascii="Arial" w:cs="Arial" w:eastAsia="Arial" w:hAnsi="Arial"/>
          <w:b/>
          <w:bCs/>
          <w:color w:val="1F3864"/>
          <w:sz w:val="26"/>
          <w:szCs w:val="26"/>
        </w:rPr>
        <w:t xml:space="preserve">4. Pricing</w:t>
      </w:r>
    </w:p>
    <w:p>
      <w:pPr>
        <w:spacing w:after="160" w:line="276"/>
      </w:pPr>
      <w:r>
        <w:rPr>
          <w:rFonts w:ascii="Arial" w:cs="Arial" w:eastAsia="Arial" w:hAnsi="Arial"/>
          <w:sz w:val="21"/>
          <w:szCs w:val="21"/>
        </w:rPr>
        <w:t xml:space="preserve">The licence model of 7 August is sound and the sensitivity sheet already contains the strategic answer: at any price between 10,000 and 25,000 the break-even sits between 22 and 55 airports against a 100-airport target, so price is a market-position decision, not a cost-recovery one. Contribution per airport is circa 17,200 against a fully loaded cost per report of circa 276. My view on the open choices:</w:t>
      </w:r>
    </w:p>
    <w:p>
      <w:pPr>
        <w:spacing w:after="160" w:line="276"/>
      </w:pPr>
      <w:r>
        <w:rPr>
          <w:rFonts w:ascii="Arial" w:cs="Arial" w:eastAsia="Arial" w:hAnsi="Arial"/>
          <w:b/>
          <w:bCs/>
          <w:sz w:val="21"/>
          <w:szCs w:val="21"/>
        </w:rPr>
        <w:t xml:space="preserve">Keep the capability tiers, drop size banding. </w:t>
      </w:r>
      <w:r>
        <w:rPr>
          <w:rFonts w:ascii="Arial" w:cs="Arial" w:eastAsia="Arial" w:hAnsi="Arial"/>
          <w:sz w:val="21"/>
          <w:szCs w:val="21"/>
        </w:rPr>
        <w:t xml:space="preserve">Forecast / Pitch / Assured at 17,500 / 25,000 / 40,000 prices what the client uses rather than what they weigh, is easier to defend in procurement, and the Assured tier is where the Avia name earns above the software. I would publish Forecast at 15,000 rather than 17,500: the sensitivity shows the margin cost is trivial, it undercuts the credible reading of what an EU SaaS charges, and it is unambiguously below the two-studies-a-year arithmetic every finance director runs. Pitch at 25,000 is the product and the anchor; leave it.</w:t>
      </w:r>
    </w:p>
    <w:p>
      <w:pPr>
        <w:spacing w:after="160" w:line="276"/>
      </w:pPr>
      <w:r>
        <w:rPr>
          <w:rFonts w:ascii="Arial" w:cs="Arial" w:eastAsia="Arial" w:hAnsi="Arial"/>
          <w:b/>
          <w:bCs/>
          <w:sz w:val="21"/>
          <w:szCs w:val="21"/>
        </w:rPr>
        <w:t xml:space="preserve">Publish the prices. </w:t>
      </w:r>
      <w:r>
        <w:rPr>
          <w:rFonts w:ascii="Arial" w:cs="Arial" w:eastAsia="Arial" w:hAnsi="Arial"/>
          <w:sz w:val="21"/>
          <w:szCs w:val="21"/>
        </w:rPr>
        <w:t xml:space="preserve">The workbook's own test says holding the price back must win more than thirteen customers of friction to pay for itself, which it will not on a purchase this size. PaxUp hides theirs; a published, honest price card beside a published back-test is the same positioning move twice.</w:t>
      </w:r>
    </w:p>
    <w:p>
      <w:pPr>
        <w:spacing w:after="160" w:line="276"/>
      </w:pPr>
      <w:r>
        <w:rPr>
          <w:rFonts w:ascii="Arial" w:cs="Arial" w:eastAsia="Arial" w:hAnsi="Arial"/>
          <w:b/>
          <w:bCs/>
          <w:sz w:val="21"/>
          <w:szCs w:val="21"/>
        </w:rPr>
        <w:t xml:space="preserve">Routes founder terms, not free trials. </w:t>
      </w:r>
      <w:r>
        <w:rPr>
          <w:rFonts w:ascii="Arial" w:cs="Arial" w:eastAsia="Arial" w:hAnsi="Arial"/>
          <w:sz w:val="21"/>
          <w:szCs w:val="21"/>
        </w:rPr>
        <w:t xml:space="preserve">A named founder-airport intake at Routes, capped at fifteen, year one at circa 30 per cent off list converting to list at renewal, with the Pitch tier included for the first quarter so the deck habit forms. Free pilots in this market churn; discounted founder status converts and gives us referenceable logos to match their wall.</w:t>
      </w:r>
    </w:p>
    <w:p>
      <w:pPr>
        <w:spacing w:after="160" w:line="276"/>
      </w:pPr>
      <w:r>
        <w:rPr>
          <w:rFonts w:ascii="Arial" w:cs="Arial" w:eastAsia="Arial" w:hAnsi="Arial"/>
          <w:b/>
          <w:bCs/>
          <w:sz w:val="21"/>
          <w:szCs w:val="21"/>
        </w:rPr>
        <w:t xml:space="preserve">Close the three zeros before November, not before Routes. </w:t>
      </w:r>
      <w:r>
        <w:rPr>
          <w:rFonts w:ascii="Arial" w:cs="Arial" w:eastAsia="Arial" w:hAnsi="Arial"/>
          <w:sz w:val="21"/>
          <w:szCs w:val="21"/>
        </w:rPr>
        <w:t xml:space="preserve">The redistribution uplift, professional indemnity and legal lines are all zero and all flagged in the workbook. The redistribution quote is the one that could change the answer (at 1m a year the margin at 100 airports is near nil; at 250,000 it is comfortable), and PaxUp's existence says a workable number exists. Nothing needs to be signed to demo in October; all three need numbers before the first invoice.</w:t>
      </w:r>
    </w:p>
    <w:p>
      <w:pPr>
        <w:spacing w:after="160" w:line="276"/>
      </w:pPr>
      <w:r>
        <w:rPr>
          <w:rFonts w:ascii="Arial" w:cs="Arial" w:eastAsia="Arial" w:hAnsi="Arial"/>
          <w:sz w:val="21"/>
          <w:szCs w:val="21"/>
        </w:rPr>
        <w:t xml:space="preserve">Net position: publish Forecast 15,000, Pitch 25,000, Assured 40,000, options as modelled; founder intake at Routes; redistribution, PI and legal quotes in motion this month. At 100 airports on those prices the model shows an operating margin near 60 per cent with every stated caveat carried.</w:t>
      </w:r>
    </w:p>
    <w:p>
      <w:pPr>
        <w:spacing w:after="200"/>
      </w:pPr>
      <w:r>
        <w:rPr>
          <w:rFonts w:ascii="Arial" w:cs="Arial" w:eastAsia="Arial" w:hAnsi="Arial"/>
          <w:i/>
          <w:iCs/>
          <w:color w:val="666666"/>
          <w:sz w:val="17"/>
          <w:szCs w:val="17"/>
        </w:rPr>
        <w:t xml:space="preserve">Source: Avia_QSI_Licence_Model_07Aug2026.xlsx (Assumptions, PnL, Sensitivity, Tiers), read this session; PaxUp research as in section 3; REVIEW_Meridian_Fable_15Aug2026.md for the S10 currency item.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Meridian working note - Commercial in Confidence - 15 August 2026 -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eastAsia="en-GB" w:bidi="ar-SA"/>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 four questions, 15 August 2026</dc:title>
  <dc:creator>Avia Solutions</dc:creator>
  <cp:lastModifiedBy>Avia Solutions</cp:lastModifiedBy>
  <cp:revision>1</cp:revision>
  <dcterms:created xsi:type="dcterms:W3CDTF">2026-08-15T09:49:46.295Z</dcterms:created>
  <dcterms:modified xsi:type="dcterms:W3CDTF">2026-08-15T09:49:46.295Z</dcterms:modified>
</cp:coreProperties>
</file>

<file path=docProps/custom.xml><?xml version="1.0" encoding="utf-8"?>
<Properties xmlns="http://schemas.openxmlformats.org/officeDocument/2006/custom-properties" xmlns:vt="http://schemas.openxmlformats.org/officeDocument/2006/docPropsVTypes"/>
</file>