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1B28"/>
          <w:sz w:val="40"/>
          <w:szCs w:val="40"/>
        </w:rPr>
        <w:t xml:space="preserve">The Observatory at Routes World 2026</w:t>
      </w:r>
    </w:p>
    <w:p>
      <w:pPr>
        <w:spacing w:after="40"/>
      </w:pPr>
      <w:r>
        <w:rPr>
          <w:rFonts w:ascii="Arial" w:cs="Arial" w:eastAsia="Arial" w:hAnsi="Arial"/>
          <w:color w:val="3D6A88"/>
          <w:sz w:val="25"/>
          <w:szCs w:val="25"/>
        </w:rPr>
        <w:t xml:space="preserve">Stand design brief for the brand team</w:t>
      </w:r>
    </w:p>
    <w:p>
      <w:pPr>
        <w:spacing w:after="300"/>
      </w:pPr>
      <w:r>
        <w:rPr>
          <w:rFonts w:ascii="Arial" w:cs="Arial" w:eastAsia="Arial" w:hAnsi="Arial"/>
          <w:color w:val="666666"/>
          <w:sz w:val="19"/>
          <w:szCs w:val="19"/>
        </w:rPr>
        <w:t xml:space="preserve">Prepared by Avia Solutions - Version 1.0, 15 August 2026 - Commercial in Confidence</w:t>
      </w:r>
    </w:p>
    <w:p>
      <w:pPr>
        <w:pStyle w:val="Heading1"/>
        <w:spacing w:after="150" w:before="300"/>
      </w:pPr>
      <w:r>
        <w:rPr>
          <w:rFonts w:ascii="Arial" w:cs="Arial" w:eastAsia="Arial" w:hAnsi="Arial"/>
          <w:b/>
          <w:bCs/>
          <w:color w:val="0F1B28"/>
          <w:sz w:val="25"/>
          <w:szCs w:val="25"/>
        </w:rPr>
        <w:t xml:space="preserve">1. The job</w:t>
      </w:r>
    </w:p>
    <w:p>
      <w:pPr>
        <w:spacing w:after="150" w:line="274"/>
      </w:pPr>
      <w:r>
        <w:rPr>
          <w:rFonts w:ascii="Arial" w:cs="Arial" w:eastAsia="Arial" w:hAnsi="Arial"/>
          <w:sz w:val="21"/>
          <w:szCs w:val="21"/>
        </w:rPr>
        <w:t xml:space="preserve">Design the graphics and screen content for a 12 square metre shell-scheme stand at Routes World 2026, Frankfurt, 21-23 October 2026, at which Avia Solutions will show Meridian, The Observatory's route-forecasting product, to an audience of circa 3,500 airport and airline network planners. This is the product's first public outing. The stand is a launch showcase and a demonstration space, not a sales office: the objective is a stream of five-minute live demonstrations, a founder-airport conversation with the right prospects, and an email captured from every engaged visitor via the take-away route pack described below.</w:t>
      </w:r>
    </w:p>
    <w:p>
      <w:pPr>
        <w:spacing w:after="150" w:line="274"/>
      </w:pPr>
      <w:r>
        <w:rPr>
          <w:rFonts w:ascii="Arial" w:cs="Arial" w:eastAsia="Arial" w:hAnsi="Arial"/>
          <w:sz w:val="21"/>
          <w:szCs w:val="21"/>
        </w:rPr>
        <w:t xml:space="preserve">Booking is not yet confirmed and space is short, so design starts at risk in parallel with the booking decision. Assume the organiser's Premier Shell Scheme as the canvas and print-only production: the budget carries no custom joinery. The design must make an aluminium shell with printed infill panels read as an institution, which the identity system was built to do.</w:t>
      </w:r>
    </w:p>
    <w:p>
      <w:pPr>
        <w:pStyle w:val="Heading1"/>
        <w:spacing w:after="150" w:before="300"/>
      </w:pPr>
      <w:r>
        <w:rPr>
          <w:rFonts w:ascii="Arial" w:cs="Arial" w:eastAsia="Arial" w:hAnsi="Arial"/>
          <w:b/>
          <w:bCs/>
          <w:color w:val="0F1B28"/>
          <w:sz w:val="25"/>
          <w:szCs w:val="25"/>
        </w:rPr>
        <w:t xml:space="preserve">2. What the visitor should experience</w:t>
      </w:r>
    </w:p>
    <w:p>
      <w:pPr>
        <w:spacing w:after="150" w:line="274"/>
      </w:pPr>
      <w:r>
        <w:rPr>
          <w:rFonts w:ascii="Arial" w:cs="Arial" w:eastAsia="Arial" w:hAnsi="Arial"/>
          <w:sz w:val="21"/>
          <w:szCs w:val="21"/>
        </w:rPr>
        <w:t xml:space="preserve">A planner walking the aisle gives the stand three seconds. In those three seconds they should read: The Observatory; independent route forecasts, and the residual between forecast and outcome. If they stop, a team member runs Meridian live: the visitor names a city pair, the tool builds the forecast in front of them, and the pack for that route is emailed to them on the spot, one route per business email. The stand needs one staffed demonstration screen (the included TV), one self-serve screen where a visitor can explore with a team member nearby, and the bar table for seated conversations. The reception counter is the welcome point and where the email capture happens.</w:t>
      </w:r>
    </w:p>
    <w:p>
      <w:pPr>
        <w:spacing w:after="150" w:line="274"/>
      </w:pPr>
      <w:r>
        <w:rPr>
          <w:rFonts w:ascii="Arial" w:cs="Arial" w:eastAsia="Arial" w:hAnsi="Arial"/>
          <w:sz w:val="21"/>
          <w:szCs w:val="21"/>
        </w:rPr>
        <w:t xml:space="preserve">The single most differentiating message, and the one no competitor at the show can copy: we publish our forecast record. The hero graphic should be built on the house signature residual plot, drawn from real Meridian back-test output which we will supply, carrying its provenance rail exactly as the guidelines specify. The wall itself should demonstrate the discipline the product sells.</w:t>
      </w:r>
    </w:p>
    <w:p>
      <w:pPr>
        <w:pStyle w:val="Heading1"/>
        <w:spacing w:after="150" w:before="300"/>
      </w:pPr>
      <w:r>
        <w:rPr>
          <w:rFonts w:ascii="Arial" w:cs="Arial" w:eastAsia="Arial" w:hAnsi="Arial"/>
          <w:b/>
          <w:bCs/>
          <w:color w:val="0F1B28"/>
          <w:sz w:val="25"/>
          <w:szCs w:val="25"/>
        </w:rPr>
        <w:t xml:space="preserve">3. Brand application</w:t>
      </w:r>
    </w:p>
    <w:p>
      <w:pPr>
        <w:spacing w:after="150" w:line="274"/>
      </w:pPr>
      <w:r>
        <w:rPr>
          <w:rFonts w:ascii="Arial" w:cs="Arial" w:eastAsia="Arial" w:hAnsi="Arial"/>
          <w:sz w:val="21"/>
          <w:szCs w:val="21"/>
        </w:rPr>
        <w:t xml:space="preserve">Your own system, v1.1, applied without exception; the notes below are emphasis, not instruction. Observatory Ink as the dominant ground on the hero wall so the shell disappears; Paper for reading surfaces; brass spent as sparingly on a six-metre wall as on a page, ideally once, as the observed line of the hero chart. The wordmark carries identification; the device only at small sizes (counter front, screen idents); the seal at most once, printed, if a certificate-register piece is wanted. Newsreader for the wall statements, Inter tracked for metadata, Plex Mono only for genuine machine output in the screen content. Photography, if used, is Treatment A cinematic grade only, and must survive being interrupted by an aluminium post: prefer graphics and type to a panoramic photo that the shell frame will slice.</w:t>
      </w:r>
    </w:p>
    <w:p>
      <w:pPr>
        <w:spacing w:after="150" w:line="274"/>
      </w:pPr>
      <w:r>
        <w:rPr>
          <w:rFonts w:ascii="Arial" w:cs="Arial" w:eastAsia="Arial" w:hAnsi="Arial"/>
          <w:sz w:val="21"/>
          <w:szCs w:val="21"/>
        </w:rPr>
        <w:t xml:space="preserve">Voice on the wall follows the guidelines' register: understated authority, show the working. Working copy for the designer to typeset, refine with us: the masthead statement, "Independent route forecasts - and the residual."; the demonstration invitation, "Name a city pair. Watch the forecast built. Take it with you."; and the credibility line, "Every forecast we publish is graded against what actually happened. Ask to see the record." Nothing on the stand may use the language the guidelines forbid: no revolutionary, no AI-powered, no game-changing.</w:t>
      </w:r>
    </w:p>
    <w:p>
      <w:pPr>
        <w:spacing w:after="150" w:line="274"/>
      </w:pPr>
      <w:r>
        <w:rPr>
          <w:rFonts w:ascii="Arial" w:cs="Arial" w:eastAsia="Arial" w:hAnsi="Arial"/>
          <w:sz w:val="21"/>
          <w:szCs w:val="21"/>
        </w:rPr>
        <w:t xml:space="preserve">Naming hierarchy on the stand: The Observatory leads; Meridian is named as the instrument; Avia Solutions appears as the institution line, matching the guidelines' masthead, and is also the exhibitor name visitors will see in the Routes meeting diaries, so the fascia nameplate should read Avia Solutions with The Observatory carried on the panels.</w:t>
      </w:r>
    </w:p>
    <w:p>
      <w:pPr>
        <w:pStyle w:val="Heading1"/>
        <w:spacing w:after="150" w:before="300"/>
      </w:pPr>
      <w:r>
        <w:rPr>
          <w:rFonts w:ascii="Arial" w:cs="Arial" w:eastAsia="Arial" w:hAnsi="Arial"/>
          <w:b/>
          <w:bCs/>
          <w:color w:val="0F1B28"/>
          <w:sz w:val="25"/>
          <w:szCs w:val="25"/>
        </w:rPr>
        <w:t xml:space="preserve">4. The canvas and its constraints</w:t>
      </w:r>
    </w:p>
    <w:p>
      <w:pPr>
        <w:spacing w:after="150" w:line="274"/>
      </w:pPr>
      <w:r>
        <w:rPr>
          <w:rFonts w:ascii="Arial" w:cs="Arial" w:eastAsia="Arial" w:hAnsi="Arial"/>
          <w:sz w:val="21"/>
          <w:szCs w:val="21"/>
        </w:rPr>
        <w:t xml:space="preserve">Premier Shell Scheme, 4m x 3m: aluminium frame, white infill panels, 370mm overlay fascia, grey carpet, reception counter with overlay, one white bar table, four bar stools, TV, three LED spotlights, one double plug. Panel artwork is not included in the package and is ordered from the organiser's print supplier: the designer should obtain the supplier's exact panel dimensions, bleed and file specifications before layout, and design each wall as individual panels that read as one composition, since seamless wraps are not what this scheme provides. Which sides of the stand are open aisle depends on the plot we secure; design the hero for the back wall (4m) with a flexible second-wall treatment that works whether we get one open side or two. Confirm the fascia text character limit with the organiser.</w:t>
      </w:r>
    </w:p>
    <w:p>
      <w:pPr>
        <w:spacing w:after="150" w:line="274"/>
      </w:pPr>
      <w:r>
        <w:rPr>
          <w:rFonts w:ascii="Arial" w:cs="Arial" w:eastAsia="Arial" w:hAnsi="Arial"/>
          <w:sz w:val="21"/>
          <w:szCs w:val="21"/>
        </w:rPr>
        <w:t xml:space="preserve">Practical points the design must respect: the three spotlights should be aimed at the hero wall, so the highest-contrast content belongs there; there is one double plug, so the TV, two additional monitors, a laptop and a router will run from a fused extension, and cable runs should be planned behind the counter; the grey carpet and white shell sit acceptably with Instrument Grey and Paper, and the design should use them rather than fight them; and every panel should be produced to survive re-use, because this artwork will serve later events and the office.</w:t>
      </w:r>
    </w:p>
    <w:p>
      <w:pPr>
        <w:pStyle w:val="Heading1"/>
        <w:spacing w:after="150" w:before="300"/>
      </w:pPr>
      <w:r>
        <w:rPr>
          <w:rFonts w:ascii="Arial" w:cs="Arial" w:eastAsia="Arial" w:hAnsi="Arial"/>
          <w:b/>
          <w:bCs/>
          <w:color w:val="0F1B28"/>
          <w:sz w:val="25"/>
          <w:szCs w:val="25"/>
        </w:rPr>
        <w:t xml:space="preserve">5. Deliverables</w:t>
      </w:r>
    </w:p>
    <w:p>
      <w:pPr>
        <w:spacing w:after="150" w:line="274"/>
      </w:pPr>
      <w:r>
        <w:rPr>
          <w:rFonts w:ascii="Arial" w:cs="Arial" w:eastAsia="Arial" w:hAnsi="Arial"/>
          <w:sz w:val="21"/>
          <w:szCs w:val="21"/>
        </w:rPr>
        <w:t xml:space="preserve">One: stand concept, as a simple elevation per wall plus counter, for approval. Two: print-ready panel artwork to the organiser supplier's specification for the back wall, side wall or walls, and the reception counter overlay. Three: fascia nameplate text. Four: a screen-content kit - a holding loop for the TV in the brand's motion register (informative, quiet, honours reduced motion) and idents for the demonstration and self-serve screens; Meridian itself supplies the live content. Five: one printed A5 piece for the counter, the price card and founder-airport invitation, two-sided, in the publication style. Six: production liaison with the organiser's print supplier through to installed handover.</w:t>
      </w:r>
    </w:p>
    <w:p>
      <w:pPr>
        <w:spacing w:after="150" w:line="274"/>
      </w:pPr>
      <w:r>
        <w:rPr>
          <w:rFonts w:ascii="Arial" w:cs="Arial" w:eastAsia="Arial" w:hAnsi="Arial"/>
          <w:sz w:val="21"/>
          <w:szCs w:val="21"/>
        </w:rPr>
        <w:t xml:space="preserve">We supply: brand guidelines v1.1 and the mark files; real residual-plot and track-record chart data from Meridian for the hero graphic; product screenshots; the price card copy; and the photographic references if Treatment A imagery is chosen.</w:t>
      </w:r>
    </w:p>
    <w:p>
      <w:pPr>
        <w:pStyle w:val="Heading1"/>
        <w:spacing w:after="150" w:before="300"/>
      </w:pPr>
      <w:r>
        <w:rPr>
          <w:rFonts w:ascii="Arial" w:cs="Arial" w:eastAsia="Arial" w:hAnsi="Arial"/>
          <w:b/>
          <w:bCs/>
          <w:color w:val="0F1B28"/>
          <w:sz w:val="25"/>
          <w:szCs w:val="25"/>
        </w:rPr>
        <w:t xml:space="preserve">6. Timeline and budget</w:t>
      </w:r>
    </w:p>
    <w:p>
      <w:pPr>
        <w:spacing w:after="150" w:line="274"/>
      </w:pPr>
      <w:r>
        <w:rPr>
          <w:rFonts w:ascii="Arial" w:cs="Arial" w:eastAsia="Arial" w:hAnsi="Arial"/>
          <w:sz w:val="21"/>
          <w:szCs w:val="21"/>
        </w:rPr>
        <w:t xml:space="preserve">Working back from installation on 20 October: artwork to the print supplier by late September, so concept by 5 September, one round of comments, final artwork by 19 September. The booking decision lands by end August; concept work before that date is at our risk and we accept it. Budget: the stand package is committed separately; design, print and the two monitors are the only additional spend and the production route is print-only. Please quote the design fee and estimated print cost as two figures, and flag anything in this brief that pushes print cost disproportionately, because we would rather drop an element than look as though we tried to do everything cheaply.</w:t>
      </w:r>
    </w:p>
    <w:p>
      <w:pPr>
        <w:spacing w:after="180"/>
      </w:pPr>
      <w:r>
        <w:rPr>
          <w:rFonts w:ascii="Arial" w:cs="Arial" w:eastAsia="Arial" w:hAnsi="Arial"/>
          <w:i/>
          <w:iCs/>
          <w:color w:val="666666"/>
          <w:sz w:val="18"/>
          <w:szCs w:val="18"/>
        </w:rPr>
        <w:t xml:space="preserve">Contact for all queries: John Carter, Avia Solutions. Source materials: Observatory Brand Guidelines v1.1; Routes World 2026 Premier Shell Scheme specification, Informa; event dates from the RWO26 Frankfurt booking form.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The Observatory - Routes World 2026 stand brief - 15 August 2026 - 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GB" w:eastAsia="en-GB" w:bidi="ar-SA"/>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Routes World 2026 stand - design brief</dc:title>
  <dc:creator>Avia Solutions</dc:creator>
  <cp:lastModifiedBy>Avia Solutions</cp:lastModifiedBy>
  <cp:revision>1</cp:revision>
  <dcterms:created xsi:type="dcterms:W3CDTF">2026-08-15T14:00:36.509Z</dcterms:created>
  <dcterms:modified xsi:type="dcterms:W3CDTF">2026-08-15T14:00:36.519Z</dcterms:modified>
</cp:coreProperties>
</file>

<file path=docProps/custom.xml><?xml version="1.0" encoding="utf-8"?>
<Properties xmlns="http://schemas.openxmlformats.org/officeDocument/2006/custom-properties" xmlns:vt="http://schemas.openxmlformats.org/officeDocument/2006/docPropsVTypes"/>
</file>