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sz w:val="32"/>
        </w:rPr>
        <w:t>Meridian launch customer offer: one-pager draft</w:t>
      </w:r>
    </w:p>
    <w:p>
      <w:pPr>
        <w:spacing w:after="120"/>
      </w:pPr>
      <w:r>
        <w:rPr>
          <w:rFonts w:ascii="Arial" w:hAnsi="Arial"/>
          <w:b w:val="0"/>
          <w:i w:val="0"/>
          <w:sz w:val="20"/>
        </w:rPr>
        <w:t>Draft v0.3, 21 September 2026. Written by W5 for John Carter, to PRICING-DECISION-2026.md v1.0 and W5-RULINGS.md v2 as amended 21 September. Printed for the five Routes meetings and handed to any qualified buyer who asks; it also goes out in the 48-hour follow-up. Commercial in confidence.</w:t>
      </w:r>
    </w:p>
    <w:p>
      <w:pPr>
        <w:spacing w:before="200" w:after="60"/>
      </w:pPr>
      <w:r>
        <w:rPr>
          <w:rFonts w:ascii="Arial" w:hAnsi="Arial"/>
          <w:b/>
          <w:i w:val="0"/>
          <w:sz w:val="22"/>
        </w:rPr>
        <w:t>Meridian: the licence, and the launch terms to 30 November</w:t>
      </w:r>
    </w:p>
    <w:p>
      <w:pPr>
        <w:spacing w:after="120"/>
      </w:pPr>
      <w:r>
        <w:rPr>
          <w:rFonts w:ascii="Arial" w:hAnsi="Arial"/>
          <w:b w:val="0"/>
          <w:i w:val="0"/>
          <w:sz w:val="20"/>
        </w:rPr>
        <w:t>Meridian is the route forecasting service published by The Aviation Observatory. It builds a forecast route by route from measured demand, optimises the time of day, and produces the presentation you would otherwise commission. Calibrated leads are within 20% of the outcome 89% of the time and within 10% 82% of the time, on 2,915 real launches; blind results are reported as portfolios only, never as a single route.</w:t>
      </w:r>
    </w:p>
    <w:p>
      <w:pPr>
        <w:spacing w:after="120"/>
      </w:pPr>
      <w:r>
        <w:rPr>
          <w:rFonts w:ascii="Arial" w:hAnsi="Arial"/>
          <w:b w:val="0"/>
          <w:i w:val="0"/>
          <w:sz w:val="20"/>
        </w:rPr>
        <w:t>What the pack is, plainly: it is not the hand-built study Avia would write for you. It is the same forecast with researched support around it, produced the same day instead of in three weeks, and you can do it for every route on your list.</w:t>
      </w:r>
    </w:p>
    <w:p>
      <w:pPr>
        <w:spacing w:before="160" w:after="40"/>
      </w:pPr>
      <w:r>
        <w:rPr>
          <w:rFonts w:ascii="Arial" w:hAnsi="Arial"/>
          <w:b/>
          <w:i w:val="0"/>
          <w:sz w:val="20"/>
        </w:rPr>
        <w:t>The licence</w:t>
      </w:r>
    </w:p>
    <w:p>
      <w:pPr>
        <w:spacing w:after="120"/>
      </w:pPr>
      <w:r>
        <w:rPr>
          <w:rFonts w:ascii="Arial" w:hAnsi="Arial"/>
          <w:b w:val="0"/>
          <w:i w:val="0"/>
          <w:sz w:val="20"/>
        </w:rPr>
        <w:t>One annual licence, priced by the number of airports it covers. Every licence is the whole service. Nothing that affects the quality of the answer is held back at any price.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20"/>
              </w:rPr>
              <w:t>Airports covered</w:t>
            </w:r>
          </w:p>
        </w:tc>
        <w:tc>
          <w:tcPr>
            <w:tcW w:type="dxa" w:w="4819"/>
          </w:tcPr>
          <w:p>
            <w:r>
              <w:rPr>
                <w:rFonts w:ascii="Arial" w:hAnsi="Arial"/>
                <w:b/>
                <w:i w:val="0"/>
                <w:sz w:val="20"/>
              </w:rPr>
              <w:t>List, a year</w:t>
            </w:r>
          </w:p>
        </w:tc>
      </w:tr>
      <w:tr>
        <w:tc>
          <w:tcPr>
            <w:tcW w:type="dxa" w:w="4819"/>
          </w:tcPr>
          <w:p>
            <w:r>
              <w:rPr>
                <w:rFonts w:ascii="Arial" w:hAnsi="Arial"/>
                <w:b w:val="0"/>
                <w:i w:val="0"/>
                <w:sz w:val="20"/>
              </w:rPr>
              <w:t>One airport</w:t>
            </w:r>
          </w:p>
        </w:tc>
        <w:tc>
          <w:tcPr>
            <w:tcW w:type="dxa" w:w="4819"/>
          </w:tcPr>
          <w:p>
            <w:r>
              <w:rPr>
                <w:rFonts w:ascii="Arial" w:hAnsi="Arial"/>
                <w:b w:val="0"/>
                <w:i w:val="0"/>
                <w:sz w:val="20"/>
              </w:rPr>
              <w:t>£15,000</w:t>
            </w:r>
          </w:p>
        </w:tc>
      </w:tr>
      <w:tr>
        <w:tc>
          <w:tcPr>
            <w:tcW w:type="dxa" w:w="4819"/>
          </w:tcPr>
          <w:p>
            <w:r>
              <w:rPr>
                <w:rFonts w:ascii="Arial" w:hAnsi="Arial"/>
                <w:b w:val="0"/>
                <w:i w:val="0"/>
                <w:sz w:val="20"/>
              </w:rPr>
              <w:t>Two to nine airports</w:t>
            </w:r>
          </w:p>
        </w:tc>
        <w:tc>
          <w:tcPr>
            <w:tcW w:type="dxa" w:w="4819"/>
          </w:tcPr>
          <w:p>
            <w:r>
              <w:rPr>
                <w:rFonts w:ascii="Arial" w:hAnsi="Arial"/>
                <w:b w:val="0"/>
                <w:i w:val="0"/>
                <w:sz w:val="20"/>
              </w:rPr>
              <w:t>£22,500</w:t>
            </w:r>
          </w:p>
        </w:tc>
      </w:tr>
      <w:tr>
        <w:tc>
          <w:tcPr>
            <w:tcW w:type="dxa" w:w="4819"/>
          </w:tcPr>
          <w:p>
            <w:r>
              <w:rPr>
                <w:rFonts w:ascii="Arial" w:hAnsi="Arial"/>
                <w:b w:val="0"/>
                <w:i w:val="0"/>
                <w:sz w:val="20"/>
              </w:rPr>
              <w:t>Ten or more, the whole estate</w:t>
            </w:r>
          </w:p>
        </w:tc>
        <w:tc>
          <w:tcPr>
            <w:tcW w:type="dxa" w:w="4819"/>
          </w:tcPr>
          <w:p>
            <w:r>
              <w:rPr>
                <w:rFonts w:ascii="Arial" w:hAnsi="Arial"/>
                <w:b w:val="0"/>
                <w:i w:val="0"/>
                <w:sz w:val="20"/>
              </w:rPr>
              <w:t>£30,000</w:t>
            </w:r>
          </w:p>
        </w:tc>
      </w:tr>
    </w:tbl>
    <w:p>
      <w:pPr>
        <w:spacing w:after="120"/>
      </w:pPr>
      <w:r>
        <w:rPr>
          <w:rFonts w:ascii="Arial" w:hAnsi="Arial"/>
          <w:b w:val="0"/>
          <w:i w:val="0"/>
          <w:sz w:val="20"/>
        </w:rPr>
        <w:t>Named users on your own corporate email domain, with no user count and no seat charge. Runs, scenarios and standard forecast packs without limit, and researched packs under a fair-use clause that acts at 250 in a year by a telephone call, never a block and never an invoice. Analysis works for any city pair in the world; the researched pack, your own brand on the outputs, route leads, the catchment scan and Watch are for the airports the licence covers.</w:t>
      </w:r>
    </w:p>
    <w:p>
      <w:pPr>
        <w:spacing w:after="120"/>
      </w:pPr>
      <w:r>
        <w:rPr>
          <w:rFonts w:ascii="Arial" w:hAnsi="Arial"/>
          <w:b w:val="0"/>
          <w:i w:val="0"/>
          <w:sz w:val="20"/>
        </w:rPr>
        <w:t>Six route studies bought one at a time cost £15,000, which is the single-airport licence. Past six routes a year, the licence is the cheaper way to work.</w:t>
      </w:r>
    </w:p>
    <w:p>
      <w:pPr>
        <w:spacing w:before="160" w:after="40"/>
      </w:pPr>
      <w:r>
        <w:rPr>
          <w:rFonts w:ascii="Arial" w:hAnsi="Arial"/>
          <w:b/>
          <w:i w:val="0"/>
          <w:sz w:val="20"/>
        </w:rPr>
        <w:t>Launch terms, for anyone who signs by 30 November 2026</w:t>
      </w:r>
    </w:p>
    <w:p>
      <w:pPr>
        <w:spacing w:after="120"/>
      </w:pPr>
      <w:r>
        <w:rPr>
          <w:rFonts w:ascii="Arial" w:hAnsi="Arial"/>
          <w:b w:val="0"/>
          <w:i w:val="0"/>
          <w:sz w:val="20"/>
        </w:rPr>
        <w:t>Half the list in year one, and years two and three held in writing at signature as cash figures. There is no limit on the number of launch clients. The date is the only limit.</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i w:val="0"/>
                <w:sz w:val="20"/>
              </w:rPr>
              <w:t>Airports covered</w:t>
            </w:r>
          </w:p>
        </w:tc>
        <w:tc>
          <w:tcPr>
            <w:tcW w:type="dxa" w:w="1928"/>
          </w:tcPr>
          <w:p>
            <w:r>
              <w:rPr>
                <w:rFonts w:ascii="Arial" w:hAnsi="Arial"/>
                <w:b/>
                <w:i w:val="0"/>
                <w:sz w:val="20"/>
              </w:rPr>
              <w:t>Year 1</w:t>
            </w:r>
          </w:p>
        </w:tc>
        <w:tc>
          <w:tcPr>
            <w:tcW w:type="dxa" w:w="1928"/>
          </w:tcPr>
          <w:p>
            <w:r>
              <w:rPr>
                <w:rFonts w:ascii="Arial" w:hAnsi="Arial"/>
                <w:b/>
                <w:i w:val="0"/>
                <w:sz w:val="20"/>
              </w:rPr>
              <w:t>Year 2</w:t>
            </w:r>
          </w:p>
        </w:tc>
        <w:tc>
          <w:tcPr>
            <w:tcW w:type="dxa" w:w="1928"/>
          </w:tcPr>
          <w:p>
            <w:r>
              <w:rPr>
                <w:rFonts w:ascii="Arial" w:hAnsi="Arial"/>
                <w:b/>
                <w:i w:val="0"/>
                <w:sz w:val="20"/>
              </w:rPr>
              <w:t>Year 3</w:t>
            </w:r>
          </w:p>
        </w:tc>
        <w:tc>
          <w:tcPr>
            <w:tcW w:type="dxa" w:w="1928"/>
          </w:tcPr>
          <w:p>
            <w:r>
              <w:rPr>
                <w:rFonts w:ascii="Arial" w:hAnsi="Arial"/>
                <w:b/>
                <w:i w:val="0"/>
                <w:sz w:val="20"/>
              </w:rPr>
              <w:t>Year 4</w:t>
            </w:r>
          </w:p>
        </w:tc>
      </w:tr>
      <w:tr>
        <w:tc>
          <w:tcPr>
            <w:tcW w:type="dxa" w:w="1928"/>
          </w:tcPr>
          <w:p>
            <w:r>
              <w:rPr>
                <w:rFonts w:ascii="Arial" w:hAnsi="Arial"/>
                <w:b w:val="0"/>
                <w:i w:val="0"/>
                <w:sz w:val="20"/>
              </w:rPr>
              <w:t>One</w:t>
            </w:r>
          </w:p>
        </w:tc>
        <w:tc>
          <w:tcPr>
            <w:tcW w:type="dxa" w:w="1928"/>
          </w:tcPr>
          <w:p>
            <w:r>
              <w:rPr>
                <w:rFonts w:ascii="Arial" w:hAnsi="Arial"/>
                <w:b w:val="0"/>
                <w:i w:val="0"/>
                <w:sz w:val="20"/>
              </w:rPr>
              <w:t>£7,500</w:t>
            </w:r>
          </w:p>
        </w:tc>
        <w:tc>
          <w:tcPr>
            <w:tcW w:type="dxa" w:w="1928"/>
          </w:tcPr>
          <w:p>
            <w:r>
              <w:rPr>
                <w:rFonts w:ascii="Arial" w:hAnsi="Arial"/>
                <w:b w:val="0"/>
                <w:i w:val="0"/>
                <w:sz w:val="20"/>
              </w:rPr>
              <w:t>£11,600</w:t>
            </w:r>
          </w:p>
        </w:tc>
        <w:tc>
          <w:tcPr>
            <w:tcW w:type="dxa" w:w="1928"/>
          </w:tcPr>
          <w:p>
            <w:r>
              <w:rPr>
                <w:rFonts w:ascii="Arial" w:hAnsi="Arial"/>
                <w:b w:val="0"/>
                <w:i w:val="0"/>
                <w:sz w:val="20"/>
              </w:rPr>
              <w:t>£13,550</w:t>
            </w:r>
          </w:p>
        </w:tc>
        <w:tc>
          <w:tcPr>
            <w:tcW w:type="dxa" w:w="1928"/>
          </w:tcPr>
          <w:p>
            <w:r>
              <w:rPr>
                <w:rFonts w:ascii="Arial" w:hAnsi="Arial"/>
                <w:b w:val="0"/>
                <w:i w:val="0"/>
                <w:sz w:val="20"/>
              </w:rPr>
              <w:t>list, less the continuity discount</w:t>
            </w:r>
          </w:p>
        </w:tc>
      </w:tr>
      <w:tr>
        <w:tc>
          <w:tcPr>
            <w:tcW w:type="dxa" w:w="1928"/>
          </w:tcPr>
          <w:p>
            <w:r>
              <w:rPr>
                <w:rFonts w:ascii="Arial" w:hAnsi="Arial"/>
                <w:b w:val="0"/>
                <w:i w:val="0"/>
                <w:sz w:val="20"/>
              </w:rPr>
              <w:t>Two to nine</w:t>
            </w:r>
          </w:p>
        </w:tc>
        <w:tc>
          <w:tcPr>
            <w:tcW w:type="dxa" w:w="1928"/>
          </w:tcPr>
          <w:p>
            <w:r>
              <w:rPr>
                <w:rFonts w:ascii="Arial" w:hAnsi="Arial"/>
                <w:b w:val="0"/>
                <w:i w:val="0"/>
                <w:sz w:val="20"/>
              </w:rPr>
              <w:t>£11,250</w:t>
            </w:r>
          </w:p>
        </w:tc>
        <w:tc>
          <w:tcPr>
            <w:tcW w:type="dxa" w:w="1928"/>
          </w:tcPr>
          <w:p>
            <w:r>
              <w:rPr>
                <w:rFonts w:ascii="Arial" w:hAnsi="Arial"/>
                <w:b w:val="0"/>
                <w:i w:val="0"/>
                <w:sz w:val="20"/>
              </w:rPr>
              <w:t>£17,400</w:t>
            </w:r>
          </w:p>
        </w:tc>
        <w:tc>
          <w:tcPr>
            <w:tcW w:type="dxa" w:w="1928"/>
          </w:tcPr>
          <w:p>
            <w:r>
              <w:rPr>
                <w:rFonts w:ascii="Arial" w:hAnsi="Arial"/>
                <w:b w:val="0"/>
                <w:i w:val="0"/>
                <w:sz w:val="20"/>
              </w:rPr>
              <w:t>£20,300</w:t>
            </w:r>
          </w:p>
        </w:tc>
        <w:tc>
          <w:tcPr>
            <w:tcW w:type="dxa" w:w="1928"/>
          </w:tcPr>
          <w:p>
            <w:r>
              <w:rPr>
                <w:rFonts w:ascii="Arial" w:hAnsi="Arial"/>
                <w:b w:val="0"/>
                <w:i w:val="0"/>
                <w:sz w:val="20"/>
              </w:rPr>
              <w:t>list, less the continuity discount</w:t>
            </w:r>
          </w:p>
        </w:tc>
      </w:tr>
      <w:tr>
        <w:tc>
          <w:tcPr>
            <w:tcW w:type="dxa" w:w="1928"/>
          </w:tcPr>
          <w:p>
            <w:r>
              <w:rPr>
                <w:rFonts w:ascii="Arial" w:hAnsi="Arial"/>
                <w:b w:val="0"/>
                <w:i w:val="0"/>
                <w:sz w:val="20"/>
              </w:rPr>
              <w:t>Ten or more</w:t>
            </w:r>
          </w:p>
        </w:tc>
        <w:tc>
          <w:tcPr>
            <w:tcW w:type="dxa" w:w="1928"/>
          </w:tcPr>
          <w:p>
            <w:r>
              <w:rPr>
                <w:rFonts w:ascii="Arial" w:hAnsi="Arial"/>
                <w:b w:val="0"/>
                <w:i w:val="0"/>
                <w:sz w:val="20"/>
              </w:rPr>
              <w:t>£15,000</w:t>
            </w:r>
          </w:p>
        </w:tc>
        <w:tc>
          <w:tcPr>
            <w:tcW w:type="dxa" w:w="1928"/>
          </w:tcPr>
          <w:p>
            <w:r>
              <w:rPr>
                <w:rFonts w:ascii="Arial" w:hAnsi="Arial"/>
                <w:b w:val="0"/>
                <w:i w:val="0"/>
                <w:sz w:val="20"/>
              </w:rPr>
              <w:t>£23,200</w:t>
            </w:r>
          </w:p>
        </w:tc>
        <w:tc>
          <w:tcPr>
            <w:tcW w:type="dxa" w:w="1928"/>
          </w:tcPr>
          <w:p>
            <w:r>
              <w:rPr>
                <w:rFonts w:ascii="Arial" w:hAnsi="Arial"/>
                <w:b w:val="0"/>
                <w:i w:val="0"/>
                <w:sz w:val="20"/>
              </w:rPr>
              <w:t>£27,050</w:t>
            </w:r>
          </w:p>
        </w:tc>
        <w:tc>
          <w:tcPr>
            <w:tcW w:type="dxa" w:w="1928"/>
          </w:tcPr>
          <w:p>
            <w:r>
              <w:rPr>
                <w:rFonts w:ascii="Arial" w:hAnsi="Arial"/>
                <w:b w:val="0"/>
                <w:i w:val="0"/>
                <w:sz w:val="20"/>
              </w:rPr>
              <w:t>list, less the continuity discount</w:t>
            </w:r>
          </w:p>
        </w:tc>
      </w:tr>
    </w:tbl>
    <w:p>
      <w:pPr>
        <w:spacing w:after="120"/>
      </w:pPr>
      <w:r>
        <w:rPr>
          <w:rFonts w:ascii="Arial" w:hAnsi="Arial"/>
          <w:b w:val="0"/>
          <w:i w:val="0"/>
          <w:sz w:val="20"/>
        </w:rPr>
        <w:t>Years one, two and three are 50%, 75% and 85% of our list for each of those years. They go into your Order Form as cash sums, so the step up is the deal you signed rather than a rise you are told about later. Our standard prices are reviewed each year and move by at least inflation; the launch years are the written exception while they run.</w:t>
      </w:r>
    </w:p>
    <w:p>
      <w:pPr>
        <w:spacing w:after="120"/>
      </w:pPr>
      <w:r>
        <w:rPr>
          <w:rFonts w:ascii="Arial" w:hAnsi="Arial"/>
          <w:b w:val="0"/>
          <w:i w:val="0"/>
          <w:sz w:val="20"/>
        </w:rPr>
        <w:t>In return you accept that Meridian is newly launched and work with us on the known-issues list rather than treating it as failure; you give us structured feedback once a quarter through year one; you act as a reference and let us use your name and brand, with your approval on each use; and you keep the licence continuous.</w:t>
      </w:r>
    </w:p>
    <w:p>
      <w:pPr>
        <w:spacing w:before="160" w:after="40"/>
      </w:pPr>
      <w:r>
        <w:rPr>
          <w:rFonts w:ascii="Arial" w:hAnsi="Arial"/>
          <w:b/>
          <w:i w:val="0"/>
          <w:sz w:val="20"/>
        </w:rPr>
        <w:t>Staying, and committing</w:t>
      </w:r>
    </w:p>
    <w:p>
      <w:pPr>
        <w:spacing w:after="120"/>
      </w:pPr>
      <w:r>
        <w:rPr>
          <w:rFonts w:ascii="Arial" w:hAnsi="Arial"/>
          <w:b w:val="0"/>
          <w:i w:val="0"/>
          <w:sz w:val="20"/>
        </w:rPr>
        <w:t>From your first renewal you pay 5% below the list of that year, for as long as the licence runs without a break.</w:t>
      </w:r>
    </w:p>
    <w:p>
      <w:pPr>
        <w:spacing w:after="120"/>
      </w:pPr>
      <w:r>
        <w:rPr>
          <w:rFonts w:ascii="Arial" w:hAnsi="Arial"/>
          <w:b w:val="0"/>
          <w:i w:val="0"/>
          <w:sz w:val="20"/>
        </w:rPr>
        <w:t>If you would rather fix your budget, commit for three years at 10% off each year, or two years at 7.5%, with the cash figures locked at signature and no annual increase while the term runs. A single airport committing for three years pays £13,500, £13,900 and £14,300.</w:t>
      </w:r>
    </w:p>
    <w:p>
      <w:pPr>
        <w:spacing w:before="160" w:after="40"/>
      </w:pPr>
      <w:r>
        <w:rPr>
          <w:rFonts w:ascii="Arial" w:hAnsi="Arial"/>
          <w:b/>
          <w:i w:val="0"/>
          <w:sz w:val="20"/>
        </w:rPr>
        <w:t>The price list, beside the licence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20"/>
              </w:rPr>
              <w:t>Option</w:t>
            </w:r>
          </w:p>
        </w:tc>
        <w:tc>
          <w:tcPr>
            <w:tcW w:type="dxa" w:w="4819"/>
          </w:tcPr>
          <w:p>
            <w:r>
              <w:rPr>
                <w:rFonts w:ascii="Arial" w:hAnsi="Arial"/>
                <w:b/>
                <w:i w:val="0"/>
                <w:sz w:val="20"/>
              </w:rPr>
              <w:t>Price</w:t>
            </w:r>
          </w:p>
        </w:tc>
      </w:tr>
      <w:tr>
        <w:tc>
          <w:tcPr>
            <w:tcW w:type="dxa" w:w="4819"/>
          </w:tcPr>
          <w:p>
            <w:r>
              <w:rPr>
                <w:rFonts w:ascii="Arial" w:hAnsi="Arial"/>
                <w:b w:val="0"/>
                <w:i w:val="0"/>
                <w:sz w:val="20"/>
              </w:rPr>
              <w:t>Meridian route study, one route, delivered within five working days</w:t>
            </w:r>
          </w:p>
        </w:tc>
        <w:tc>
          <w:tcPr>
            <w:tcW w:type="dxa" w:w="4819"/>
          </w:tcPr>
          <w:p>
            <w:r>
              <w:rPr>
                <w:rFonts w:ascii="Arial" w:hAnsi="Arial"/>
                <w:b w:val="0"/>
                <w:i w:val="0"/>
                <w:sz w:val="20"/>
              </w:rPr>
              <w:t>£2,500 a route, invoiced on delivery, no licence</w:t>
            </w:r>
          </w:p>
        </w:tc>
      </w:tr>
      <w:tr>
        <w:tc>
          <w:tcPr>
            <w:tcW w:type="dxa" w:w="4819"/>
          </w:tcPr>
          <w:p>
            <w:r>
              <w:rPr>
                <w:rFonts w:ascii="Arial" w:hAnsi="Arial"/>
                <w:b w:val="0"/>
                <w:i w:val="0"/>
                <w:sz w:val="20"/>
              </w:rPr>
              <w:t>Your own catchment loaded</w:t>
            </w:r>
          </w:p>
        </w:tc>
        <w:tc>
          <w:tcPr>
            <w:tcW w:type="dxa" w:w="4819"/>
          </w:tcPr>
          <w:p>
            <w:r>
              <w:rPr>
                <w:rFonts w:ascii="Arial" w:hAnsi="Arial"/>
                <w:b w:val="0"/>
                <w:i w:val="0"/>
                <w:sz w:val="20"/>
              </w:rPr>
              <w:t>£3,500, one-off, per airport</w:t>
            </w:r>
          </w:p>
        </w:tc>
      </w:tr>
      <w:tr>
        <w:tc>
          <w:tcPr>
            <w:tcW w:type="dxa" w:w="4819"/>
          </w:tcPr>
          <w:p>
            <w:r>
              <w:rPr>
                <w:rFonts w:ascii="Arial" w:hAnsi="Arial"/>
                <w:b w:val="0"/>
                <w:i w:val="0"/>
                <w:sz w:val="20"/>
              </w:rPr>
              <w:t>Your template mapped onto the outputs</w:t>
            </w:r>
          </w:p>
        </w:tc>
        <w:tc>
          <w:tcPr>
            <w:tcW w:type="dxa" w:w="4819"/>
          </w:tcPr>
          <w:p>
            <w:r>
              <w:rPr>
                <w:rFonts w:ascii="Arial" w:hAnsi="Arial"/>
                <w:b w:val="0"/>
                <w:i w:val="0"/>
                <w:sz w:val="20"/>
              </w:rPr>
              <w:t>£5,000, one-off</w:t>
            </w:r>
          </w:p>
        </w:tc>
      </w:tr>
      <w:tr>
        <w:tc>
          <w:tcPr>
            <w:tcW w:type="dxa" w:w="4819"/>
          </w:tcPr>
          <w:p>
            <w:r>
              <w:rPr>
                <w:rFonts w:ascii="Arial" w:hAnsi="Arial"/>
                <w:b w:val="0"/>
                <w:i w:val="0"/>
                <w:sz w:val="20"/>
              </w:rPr>
              <w:t>Cortex API</w:t>
            </w:r>
          </w:p>
        </w:tc>
        <w:tc>
          <w:tcPr>
            <w:tcW w:type="dxa" w:w="4819"/>
          </w:tcPr>
          <w:p>
            <w:r>
              <w:rPr>
                <w:rFonts w:ascii="Arial" w:hAnsi="Arial"/>
                <w:b w:val="0"/>
                <w:i w:val="0"/>
                <w:sz w:val="20"/>
              </w:rPr>
              <w:t>from £15,000 a year, on request</w:t>
            </w:r>
          </w:p>
        </w:tc>
      </w:tr>
    </w:tbl>
    <w:p>
      <w:pPr>
        <w:spacing w:after="120"/>
      </w:pPr>
      <w:r>
        <w:rPr>
          <w:rFonts w:ascii="Arial" w:hAnsi="Arial"/>
          <w:b w:val="0"/>
          <w:i w:val="0"/>
          <w:sz w:val="20"/>
        </w:rPr>
        <w:t>Launch clients take any of these at half price in year one and three quarters in year two.</w:t>
      </w:r>
    </w:p>
    <w:p>
      <w:pPr>
        <w:spacing w:before="160" w:after="40"/>
      </w:pPr>
      <w:r>
        <w:rPr>
          <w:rFonts w:ascii="Arial" w:hAnsi="Arial"/>
          <w:b/>
          <w:i w:val="0"/>
          <w:sz w:val="20"/>
        </w:rPr>
        <w:t>Paying</w:t>
      </w:r>
    </w:p>
    <w:p>
      <w:pPr>
        <w:spacing w:after="120"/>
      </w:pPr>
      <w:r>
        <w:rPr>
          <w:rFonts w:ascii="Arial" w:hAnsi="Arial"/>
          <w:b w:val="0"/>
          <w:i w:val="0"/>
          <w:sz w:val="20"/>
        </w:rPr>
        <w:t>Annual in advance, invoiced on signature, payable within 14 days, exclusive of VAT, in sterling. Where an annual commitment is hard to sign off, the licence can be paid quarterly at £4,000, £6,000 or £8,000 a quarter by band. The licence stays annual either way.</w:t>
      </w:r>
    </w:p>
    <w:p>
      <w:pPr>
        <w:spacing w:before="160" w:after="40"/>
      </w:pPr>
      <w:r>
        <w:rPr>
          <w:rFonts w:ascii="Arial" w:hAnsi="Arial"/>
          <w:b/>
          <w:i w:val="0"/>
          <w:sz w:val="20"/>
        </w:rPr>
        <w:t>What is not included</w:t>
      </w:r>
    </w:p>
    <w:p>
      <w:pPr>
        <w:pStyle w:val="ListBullet"/>
        <w:spacing w:after="40"/>
      </w:pPr>
      <w:r>
        <w:rPr>
          <w:rFonts w:ascii="Arial" w:hAnsi="Arial"/>
          <w:b w:val="0"/>
          <w:i w:val="0"/>
          <w:sz w:val="20"/>
        </w:rPr>
        <w:t>The hand-built Avia study, with an analyst's research in your own format. That is Avia consultancy work and it is priced separately.</w:t>
      </w:r>
    </w:p>
    <w:p>
      <w:pPr>
        <w:pStyle w:val="ListBullet"/>
        <w:spacing w:after="40"/>
      </w:pPr>
      <w:r>
        <w:rPr>
          <w:rFonts w:ascii="Arial" w:hAnsi="Arial"/>
          <w:b w:val="0"/>
          <w:i w:val="0"/>
          <w:sz w:val="20"/>
        </w:rPr>
        <w:t>Day-of-week allocation of frequency, fare in the capture score, and the economics of the newest aircraft types. All three are on the known-issues list and none is in year one.</w:t>
      </w:r>
    </w:p>
    <w:p>
      <w:pPr>
        <w:pStyle w:val="ListBullet"/>
        <w:spacing w:after="40"/>
      </w:pPr>
      <w:r>
        <w:rPr>
          <w:rFonts w:ascii="Arial" w:hAnsi="Arial"/>
          <w:b w:val="0"/>
          <w:i w:val="0"/>
          <w:sz w:val="20"/>
        </w:rPr>
        <w:t>Liability for decisions you take on our outputs. The aircraft economics outputs are indicative and built on generic published assumptions, not on any airline's actual costs.</w:t>
      </w:r>
    </w:p>
    <w:p>
      <w:pPr>
        <w:pStyle w:val="ListBullet"/>
        <w:spacing w:after="40"/>
      </w:pPr>
      <w:r>
        <w:rPr>
          <w:rFonts w:ascii="Arial" w:hAnsi="Arial"/>
          <w:b w:val="0"/>
          <w:i w:val="0"/>
          <w:sz w:val="20"/>
        </w:rPr>
        <w:t>Data. You receive outputs and use them inside your organisation and with your own advisers, recognising Meridian as the source. You do not redistribute or resell them.</w:t>
      </w:r>
    </w:p>
    <w:p>
      <w:pPr>
        <w:spacing w:before="160" w:after="40"/>
      </w:pPr>
      <w:r>
        <w:rPr>
          <w:rFonts w:ascii="Arial" w:hAnsi="Arial"/>
          <w:b/>
          <w:i w:val="0"/>
          <w:sz w:val="20"/>
        </w:rPr>
        <w:t>The agreement, and how it starts</w:t>
      </w:r>
    </w:p>
    <w:p>
      <w:pPr>
        <w:spacing w:after="120"/>
      </w:pPr>
      <w:r>
        <w:rPr>
          <w:rFonts w:ascii="Arial" w:hAnsi="Arial"/>
          <w:b w:val="0"/>
          <w:i w:val="0"/>
          <w:sz w:val="20"/>
        </w:rPr>
        <w:t>Standard Terms signed once, and an Order Form for your licence carrying your band, your airports, your prices and your dates. Annual and automatic renewal, cancelled on 90 days' notice. If your procurement rules do not allow an agreement that renews itself, say so and we renew on your written acceptance at the same price.</w:t>
      </w:r>
    </w:p>
    <w:p>
      <w:pPr>
        <w:spacing w:after="120"/>
      </w:pPr>
      <w:r>
        <w:rPr>
          <w:rFonts w:ascii="Arial" w:hAnsi="Arial"/>
          <w:b w:val="0"/>
          <w:i w:val="0"/>
          <w:sz w:val="20"/>
        </w:rPr>
        <w:t>Onboarding is a 45-minute call in which we run your first three routes together, and you keep the outputs.</w:t>
      </w:r>
    </w:p>
    <w:p>
      <w:pPr>
        <w:spacing w:after="120"/>
      </w:pPr>
      <w:r>
        <w:rPr>
          <w:rFonts w:ascii="Arial" w:hAnsi="Arial"/>
          <w:b w:val="0"/>
          <w:i w:val="0"/>
          <w:sz w:val="20"/>
        </w:rPr>
        <w:t xml:space="preserve">The Aviation Observatory Limited, company number 17411365, 86-90 Paul Street, London EC2A 4NE. </w:t>
      </w:r>
      <w:r>
        <w:rPr>
          <w:rFonts w:ascii="Arial" w:hAnsi="Arial"/>
          <w:b/>
          <w:i w:val="0"/>
          <w:sz w:val="20"/>
        </w:rPr>
        <w:t>SLOT 4</w:t>
      </w:r>
      <w:r>
        <w:rPr>
          <w:rFonts w:ascii="Arial" w:hAnsi="Arial"/>
          <w:b w:val="0"/>
          <w:i w:val="0"/>
          <w:sz w:val="20"/>
        </w:rPr>
        <w:t>: the support address and the response time.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595959"/>
        <w:sz w:val="16"/>
      </w:rPr>
      <w:t xml:space="preserve">- DRAFT -   </w:t>
    </w:r>
    <w:r>
      <w:rPr>
        <w:rFonts w:ascii="Arial" w:hAnsi="Arial"/>
        <w:b w:val="0"/>
        <w:i w:val="0"/>
        <w:color w:val="595959"/>
        <w:sz w:val="16"/>
      </w:rPr>
      <w:t xml:space="preserve">P: </w:t>
    </w:r>
    <w:r>
      <w:rPr>
        <w:rFonts w:ascii="Arial" w:hAnsi="Arial"/>
        <w:color w:val="595959"/>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launch customer offer, draft v0.3</dc:title>
  <dc:subject/>
  <dc:creator>Avia Solutions</dc:creator>
  <cp:keywords/>
  <dc:description>DRAFT, commercial in confidence</dc:description>
  <cp:lastModifiedBy>Avia Solutions</cp:lastModifiedBy>
  <cp:revision>1</cp:revision>
  <dcterms:created xsi:type="dcterms:W3CDTF">2013-12-23T23:15:00Z</dcterms:created>
  <dcterms:modified xsi:type="dcterms:W3CDTF">2013-12-23T23:15:00Z</dcterms:modified>
  <cp:category>Meridian, World Routes 2026</cp:category>
</cp:coreProperties>
</file>