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sz w:val="32"/>
        </w:rPr>
        <w:t>Meridian Standard Terms: draft for legal review</w:t>
      </w:r>
    </w:p>
    <w:p>
      <w:pPr>
        <w:spacing w:after="120"/>
      </w:pPr>
      <w:r>
        <w:rPr>
          <w:rFonts w:ascii="Arial" w:hAnsi="Arial"/>
          <w:b w:val="0"/>
          <w:i w:val="0"/>
          <w:sz w:val="20"/>
        </w:rPr>
        <w:t>Draft v0.3, 21 September 2026. Prepared by W5 for John Carter and for the solicitor. Built to PRICING-DECISION-2026.md v1.0 and to W5-RULINGS.md v2 as amended 21 September. NOT LEGAL ADVICE. Not to be issued to a client. Private and confidential.</w:t>
      </w:r>
    </w:p>
    <w:p>
      <w:pPr>
        <w:spacing w:after="120"/>
      </w:pPr>
      <w:r>
        <w:rPr>
          <w:rFonts w:ascii="Arial" w:hAnsi="Arial"/>
          <w:b w:val="0"/>
          <w:i w:val="0"/>
          <w:sz w:val="20"/>
        </w:rPr>
        <w:t>These Standard Terms are signed once. An Order Form is signed for each licence and carries everything that varies: the band and the price, the covered airports, the launch schedule, the payment basis, any option bought and the discount that applied. This follows the master and work order pattern of the agreements Avia itself signs.</w:t>
      </w:r>
    </w:p>
    <w:p>
      <w:pPr>
        <w:spacing w:after="120"/>
      </w:pPr>
      <w:r>
        <w:rPr>
          <w:rFonts w:ascii="Arial" w:hAnsi="Arial"/>
          <w:b w:val="0"/>
          <w:i w:val="0"/>
          <w:sz w:val="20"/>
        </w:rPr>
        <w:t xml:space="preserve">Two markers run through the draft. </w:t>
      </w:r>
      <w:r>
        <w:rPr>
          <w:rFonts w:ascii="Arial" w:hAnsi="Arial"/>
          <w:b/>
          <w:i w:val="0"/>
          <w:sz w:val="20"/>
        </w:rPr>
        <w:t>SLOT n</w:t>
      </w:r>
      <w:r>
        <w:rPr>
          <w:rFonts w:ascii="Arial" w:hAnsi="Arial"/>
          <w:b w:val="0"/>
          <w:i w:val="0"/>
          <w:sz w:val="20"/>
        </w:rPr>
        <w:t xml:space="preserve"> marks a figure or term still open, numbered afresh for v0.3; the map from the v0.2 numbers is in W5-STATUS.md v4. </w:t>
      </w:r>
      <w:r>
        <w:rPr>
          <w:rFonts w:ascii="Arial" w:hAnsi="Arial"/>
          <w:b/>
          <w:i w:val="0"/>
          <w:sz w:val="20"/>
        </w:rPr>
        <w:t>LAWYER n</w:t>
      </w:r>
      <w:r>
        <w:rPr>
          <w:rFonts w:ascii="Arial" w:hAnsi="Arial"/>
          <w:b w:val="0"/>
          <w:i w:val="0"/>
          <w:sz w:val="20"/>
        </w:rPr>
        <w:t xml:space="preserve"> marks a clause the solicitor settles; the fourteen are listed at the foot. The whole document goes to the solicitor in the week of 6 October, nothing piecemeal.</w:t>
      </w:r>
    </w:p>
    <w:p>
      <w:pPr>
        <w:spacing w:before="200" w:after="60"/>
      </w:pPr>
      <w:r>
        <w:rPr>
          <w:rFonts w:ascii="Arial" w:hAnsi="Arial"/>
          <w:b/>
          <w:i w:val="0"/>
          <w:sz w:val="22"/>
        </w:rPr>
        <w:t>1. Parties and definitions</w:t>
      </w:r>
    </w:p>
    <w:p>
      <w:pPr>
        <w:spacing w:after="120"/>
      </w:pPr>
      <w:r>
        <w:rPr>
          <w:rFonts w:ascii="Arial" w:hAnsi="Arial"/>
          <w:b w:val="0"/>
          <w:i w:val="0"/>
          <w:sz w:val="20"/>
        </w:rPr>
        <w:t xml:space="preserve">These terms are made between </w:t>
      </w:r>
      <w:r>
        <w:rPr>
          <w:rFonts w:ascii="Arial" w:hAnsi="Arial"/>
          <w:b/>
          <w:i w:val="0"/>
          <w:sz w:val="20"/>
        </w:rPr>
        <w:t>The Aviation Observatory Limited</w:t>
      </w:r>
      <w:r>
        <w:rPr>
          <w:rFonts w:ascii="Arial" w:hAnsi="Arial"/>
          <w:b w:val="0"/>
          <w:i w:val="0"/>
          <w:sz w:val="20"/>
        </w:rPr>
        <w:t>, company number 17411365, registered office 86-90 Paul Street, London EC2A 4NE ("TAO"), and the client named in the Order Form ("the Client").</w:t>
      </w:r>
    </w:p>
    <w:p>
      <w:pPr>
        <w:pStyle w:val="ListBullet"/>
        <w:spacing w:after="40"/>
      </w:pPr>
      <w:r>
        <w:rPr>
          <w:rFonts w:ascii="Arial" w:hAnsi="Arial"/>
          <w:b/>
          <w:i w:val="0"/>
          <w:sz w:val="20"/>
        </w:rPr>
        <w:t>Meridian</w:t>
      </w:r>
      <w:r>
        <w:rPr>
          <w:rFonts w:ascii="Arial" w:hAnsi="Arial"/>
          <w:b w:val="0"/>
          <w:i w:val="0"/>
          <w:sz w:val="20"/>
        </w:rPr>
        <w:t xml:space="preserve"> is the route forecasting service TAO publishes.</w:t>
      </w:r>
    </w:p>
    <w:p>
      <w:pPr>
        <w:pStyle w:val="ListBullet"/>
        <w:spacing w:after="40"/>
      </w:pPr>
      <w:r>
        <w:rPr>
          <w:rFonts w:ascii="Arial" w:hAnsi="Arial"/>
          <w:b/>
          <w:i w:val="0"/>
          <w:sz w:val="20"/>
        </w:rPr>
        <w:t>The Order Form</w:t>
      </w:r>
      <w:r>
        <w:rPr>
          <w:rFonts w:ascii="Arial" w:hAnsi="Arial"/>
          <w:b w:val="0"/>
          <w:i w:val="0"/>
          <w:sz w:val="20"/>
        </w:rPr>
        <w:t xml:space="preserve"> is the document signed for each licence, which prevails over these terms for what it covers.</w:t>
      </w:r>
    </w:p>
    <w:p>
      <w:pPr>
        <w:pStyle w:val="ListBullet"/>
        <w:spacing w:after="40"/>
      </w:pPr>
      <w:r>
        <w:rPr>
          <w:rFonts w:ascii="Arial" w:hAnsi="Arial"/>
          <w:b/>
          <w:i w:val="0"/>
          <w:sz w:val="20"/>
        </w:rPr>
        <w:t>Covered Airports</w:t>
      </w:r>
      <w:r>
        <w:rPr>
          <w:rFonts w:ascii="Arial" w:hAnsi="Arial"/>
          <w:b w:val="0"/>
          <w:i w:val="0"/>
          <w:sz w:val="20"/>
        </w:rPr>
        <w:t xml:space="preserve"> are the airports listed in the schedule to the Order Form.</w:t>
      </w:r>
    </w:p>
    <w:p>
      <w:pPr>
        <w:pStyle w:val="ListBullet"/>
        <w:spacing w:after="40"/>
      </w:pPr>
      <w:r>
        <w:rPr>
          <w:rFonts w:ascii="Arial" w:hAnsi="Arial"/>
          <w:b/>
          <w:i w:val="0"/>
          <w:sz w:val="20"/>
        </w:rPr>
        <w:t>List Price</w:t>
      </w:r>
      <w:r>
        <w:rPr>
          <w:rFonts w:ascii="Arial" w:hAnsi="Arial"/>
          <w:b w:val="0"/>
          <w:i w:val="0"/>
          <w:sz w:val="20"/>
        </w:rPr>
        <w:t xml:space="preserve"> is TAO's published standard price for the Client's band at the date in question.</w:t>
      </w:r>
    </w:p>
    <w:p>
      <w:pPr>
        <w:pStyle w:val="ListBullet"/>
        <w:spacing w:after="40"/>
      </w:pPr>
      <w:r>
        <w:rPr>
          <w:rFonts w:ascii="Arial" w:hAnsi="Arial"/>
          <w:b/>
          <w:i w:val="0"/>
          <w:sz w:val="20"/>
        </w:rPr>
        <w:t>Licence Year</w:t>
      </w:r>
      <w:r>
        <w:rPr>
          <w:rFonts w:ascii="Arial" w:hAnsi="Arial"/>
          <w:b w:val="0"/>
          <w:i w:val="0"/>
          <w:sz w:val="20"/>
        </w:rPr>
        <w:t xml:space="preserve"> runs from the commencement date in the Order Form and each anniversary.</w:t>
      </w:r>
    </w:p>
    <w:p>
      <w:pPr>
        <w:spacing w:before="200" w:after="60"/>
      </w:pPr>
      <w:r>
        <w:rPr>
          <w:rFonts w:ascii="Arial" w:hAnsi="Arial"/>
          <w:b/>
          <w:i w:val="0"/>
          <w:sz w:val="22"/>
        </w:rPr>
        <w:t>2. The licence</w:t>
      </w:r>
    </w:p>
    <w:p>
      <w:pPr>
        <w:spacing w:after="120"/>
      </w:pPr>
      <w:r>
        <w:rPr>
          <w:rFonts w:ascii="Arial" w:hAnsi="Arial"/>
          <w:b w:val="0"/>
          <w:i w:val="0"/>
          <w:sz w:val="20"/>
        </w:rPr>
        <w:t>TAO grants the Client a non-exclusive, non-transferable licence to use Meridian for the Licence Year, renewing under clause 8, for the band stated in the Order Form. The band follows the number of Covered Airports.</w:t>
      </w:r>
    </w:p>
    <w:p>
      <w:pPr>
        <w:spacing w:after="120"/>
      </w:pPr>
      <w:r>
        <w:rPr>
          <w:rFonts w:ascii="Arial" w:hAnsi="Arial"/>
          <w:b w:val="0"/>
          <w:i w:val="0"/>
          <w:sz w:val="20"/>
        </w:rPr>
        <w:t>Every licence carries the whole service. Nothing that affects the quality of the answer is held back at any price: route leads, route forecast, optimised route forecast, schedule sizing, route economics, Watch monitoring, expert mode in full, runs and scenarios without limit, standard forecast packs without limit, researched packs under clause 5, every download, and the Client's own logo, colours and fonts on its outputs.</w:t>
      </w:r>
    </w:p>
    <w:p>
      <w:pPr>
        <w:spacing w:before="200" w:after="60"/>
      </w:pPr>
      <w:r>
        <w:rPr>
          <w:rFonts w:ascii="Arial" w:hAnsi="Arial"/>
          <w:b/>
          <w:i w:val="0"/>
          <w:sz w:val="22"/>
        </w:rPr>
        <w:t>3. What the licence covers, and where</w:t>
      </w:r>
    </w:p>
    <w:p>
      <w:pPr>
        <w:spacing w:after="120"/>
      </w:pPr>
      <w:r>
        <w:rPr>
          <w:rFonts w:ascii="Arial" w:hAnsi="Arial"/>
          <w:b w:val="0"/>
          <w:i w:val="0"/>
          <w:sz w:val="20"/>
        </w:rPr>
        <w:t>Analysis is unrestricted. Run, Optimise, schedule sizing, route economics, expert mode, the workbook and data downloads and the standard forecast pack work for any city pair in the world.</w:t>
      </w:r>
    </w:p>
    <w:p>
      <w:pPr>
        <w:spacing w:after="120"/>
      </w:pPr>
      <w:r>
        <w:rPr>
          <w:rFonts w:ascii="Arial" w:hAnsi="Arial"/>
          <w:b w:val="0"/>
          <w:i w:val="0"/>
          <w:sz w:val="20"/>
        </w:rPr>
        <w:t>Production is scoped to the Covered Airports. The researched pack, the Client's own brand on outputs, route leads, the catchment opportunity scan and Watch are for the Covered Airports only. The Client may add airports under clause 12.</w:t>
      </w:r>
    </w:p>
    <w:p>
      <w:pPr>
        <w:spacing w:after="120"/>
      </w:pPr>
      <w:r>
        <w:rPr>
          <w:rFonts w:ascii="Arial" w:hAnsi="Arial"/>
          <w:b/>
          <w:i w:val="0"/>
          <w:sz w:val="20"/>
        </w:rPr>
        <w:t>LAWYER 1</w:t>
      </w:r>
      <w:r>
        <w:rPr>
          <w:rFonts w:ascii="Arial" w:hAnsi="Arial"/>
          <w:b w:val="0"/>
          <w:i w:val="0"/>
          <w:sz w:val="20"/>
        </w:rPr>
        <w:t>: the scope clause. It is the only thing holding the band price up once a Client covers more than one airport, so it has to bind without making ordinary analysis a breach.</w:t>
      </w:r>
    </w:p>
    <w:p>
      <w:pPr>
        <w:spacing w:before="200" w:after="60"/>
      </w:pPr>
      <w:r>
        <w:rPr>
          <w:rFonts w:ascii="Arial" w:hAnsi="Arial"/>
          <w:b/>
          <w:i w:val="0"/>
          <w:sz w:val="22"/>
        </w:rPr>
        <w:t>4. Named users</w:t>
      </w:r>
    </w:p>
    <w:p>
      <w:pPr>
        <w:spacing w:after="120"/>
      </w:pPr>
      <w:r>
        <w:rPr>
          <w:rFonts w:ascii="Arial" w:hAnsi="Arial"/>
          <w:b w:val="0"/>
          <w:i w:val="0"/>
          <w:sz w:val="20"/>
        </w:rPr>
        <w:t>Users are named individuals on the Client's own corporate email domain, each with a personal username, for that person's own use. There is no user count and no charge for a user.</w:t>
      </w:r>
    </w:p>
    <w:p>
      <w:pPr>
        <w:spacing w:after="120"/>
      </w:pPr>
      <w:r>
        <w:rPr>
          <w:rFonts w:ascii="Arial" w:hAnsi="Arial"/>
          <w:b w:val="0"/>
          <w:i w:val="0"/>
          <w:sz w:val="20"/>
        </w:rPr>
        <w:t>No consultant, adviser or other third party holds a user account under this licence, whether or not they work for the Client. Advisers licence Meridian separately.</w:t>
      </w:r>
    </w:p>
    <w:p>
      <w:pPr>
        <w:spacing w:after="120"/>
      </w:pPr>
      <w:r>
        <w:rPr>
          <w:rFonts w:ascii="Arial" w:hAnsi="Arial"/>
          <w:b/>
          <w:i w:val="0"/>
          <w:sz w:val="20"/>
        </w:rPr>
        <w:t>LAWYER 2</w:t>
      </w:r>
      <w:r>
        <w:rPr>
          <w:rFonts w:ascii="Arial" w:hAnsi="Arial"/>
          <w:b w:val="0"/>
          <w:i w:val="0"/>
          <w:sz w:val="20"/>
        </w:rPr>
        <w:t>: make the consultant restriction express and enforceable. A consultant with an account could produce forecasts for anybody, which is the risk the whole scope rests on.</w:t>
      </w:r>
    </w:p>
    <w:p>
      <w:pPr>
        <w:spacing w:before="200" w:after="60"/>
      </w:pPr>
      <w:r>
        <w:rPr>
          <w:rFonts w:ascii="Arial" w:hAnsi="Arial"/>
          <w:b/>
          <w:i w:val="0"/>
          <w:sz w:val="22"/>
        </w:rPr>
        <w:t>5. Fair use of researched packs</w:t>
      </w:r>
    </w:p>
    <w:p>
      <w:pPr>
        <w:spacing w:after="120"/>
      </w:pPr>
      <w:r>
        <w:rPr>
          <w:rFonts w:ascii="Arial" w:hAnsi="Arial"/>
          <w:b w:val="0"/>
          <w:i w:val="0"/>
          <w:sz w:val="20"/>
        </w:rPr>
        <w:t>The Client may produce a reasonable volume of researched packs for its own route development programme at the Covered Airports. TAO will contact the Client if use passes 250 researched packs in a Licence Year. Nothing in the service blocks a pack and no pack is separately invoiced.</w:t>
      </w:r>
    </w:p>
    <w:p>
      <w:pPr>
        <w:spacing w:before="200" w:after="60"/>
      </w:pPr>
      <w:r>
        <w:rPr>
          <w:rFonts w:ascii="Arial" w:hAnsi="Arial"/>
          <w:b/>
          <w:i w:val="0"/>
          <w:sz w:val="22"/>
        </w:rPr>
        <w:t>6. What the Client may do with the outputs</w:t>
      </w:r>
    </w:p>
    <w:p>
      <w:pPr>
        <w:spacing w:after="120"/>
      </w:pPr>
      <w:r>
        <w:rPr>
          <w:rFonts w:ascii="Arial" w:hAnsi="Arial"/>
          <w:b w:val="0"/>
          <w:i w:val="0"/>
          <w:sz w:val="20"/>
        </w:rPr>
        <w:t>The Client may use the outputs for its own analysis, including extracts in reports and presentations of its own authorship, recognising Meridian and The Aviation Observatory as the source. The Client receives outputs, not data.</w:t>
      </w:r>
    </w:p>
    <w:p>
      <w:pPr>
        <w:spacing w:after="120"/>
      </w:pPr>
      <w:r>
        <w:rPr>
          <w:rFonts w:ascii="Arial" w:hAnsi="Arial"/>
          <w:b w:val="0"/>
          <w:i w:val="0"/>
          <w:sz w:val="20"/>
        </w:rPr>
        <w:t>The Client does not: use the outputs in any other system, product or software service; use them to train or evaluate any machine learning model; redistribute, publish or resell them; or use any robot, scraper or other automated means to collect from Meridian.</w:t>
      </w:r>
    </w:p>
    <w:p>
      <w:pPr>
        <w:spacing w:after="120"/>
      </w:pPr>
      <w:r>
        <w:rPr>
          <w:rFonts w:ascii="Arial" w:hAnsi="Arial"/>
          <w:b/>
          <w:i w:val="0"/>
          <w:sz w:val="20"/>
        </w:rPr>
        <w:t>LAWYER 3</w:t>
      </w:r>
      <w:r>
        <w:rPr>
          <w:rFonts w:ascii="Arial" w:hAnsi="Arial"/>
          <w:b w:val="0"/>
          <w:i w:val="0"/>
          <w:sz w:val="20"/>
        </w:rPr>
        <w:t>: the machine learning restriction. Meridian's outputs are exactly the material somebody would train on, and no comparator agreement Avia holds addresses it.</w:t>
      </w:r>
    </w:p>
    <w:p>
      <w:pPr>
        <w:spacing w:before="200" w:after="60"/>
      </w:pPr>
      <w:r>
        <w:rPr>
          <w:rFonts w:ascii="Arial" w:hAnsi="Arial"/>
          <w:b/>
          <w:i w:val="0"/>
          <w:sz w:val="22"/>
        </w:rPr>
        <w:t>7. Restrictions on the service itself</w:t>
      </w:r>
    </w:p>
    <w:p>
      <w:pPr>
        <w:spacing w:after="120"/>
      </w:pPr>
      <w:r>
        <w:rPr>
          <w:rFonts w:ascii="Arial" w:hAnsi="Arial"/>
          <w:b w:val="0"/>
          <w:i w:val="0"/>
          <w:sz w:val="20"/>
        </w:rPr>
        <w:t>The Client does not modify Meridian, merge it with other software, sublicense, lease or lend it, or reverse engineer it.</w:t>
      </w:r>
    </w:p>
    <w:p>
      <w:pPr>
        <w:spacing w:before="200" w:after="60"/>
      </w:pPr>
      <w:r>
        <w:rPr>
          <w:rFonts w:ascii="Arial" w:hAnsi="Arial"/>
          <w:b/>
          <w:i w:val="0"/>
          <w:sz w:val="22"/>
        </w:rPr>
        <w:t>8. Term, renewal and cancellation</w:t>
      </w:r>
    </w:p>
    <w:p>
      <w:pPr>
        <w:spacing w:after="120"/>
      </w:pPr>
      <w:r>
        <w:rPr>
          <w:rFonts w:ascii="Arial" w:hAnsi="Arial"/>
          <w:b w:val="0"/>
          <w:i w:val="0"/>
          <w:sz w:val="20"/>
        </w:rPr>
        <w:t xml:space="preserve">The licence runs for a Licence Year and renews automatically for a further Licence Year. </w:t>
      </w:r>
      <w:r>
        <w:rPr>
          <w:rFonts w:ascii="Arial" w:hAnsi="Arial"/>
          <w:b/>
          <w:i w:val="0"/>
          <w:sz w:val="20"/>
        </w:rPr>
        <w:t>The Client cancels on 90 days' written notice</w:t>
      </w:r>
      <w:r>
        <w:rPr>
          <w:rFonts w:ascii="Arial" w:hAnsi="Arial"/>
          <w:b w:val="0"/>
          <w:i w:val="0"/>
          <w:sz w:val="20"/>
        </w:rPr>
        <w:t xml:space="preserve"> before a renewal date. TAO writes to the Client three months and two months before each renewal date.</w:t>
      </w:r>
    </w:p>
    <w:p>
      <w:pPr>
        <w:spacing w:after="120"/>
      </w:pPr>
      <w:r>
        <w:rPr>
          <w:rFonts w:ascii="Arial" w:hAnsi="Arial"/>
          <w:b w:val="0"/>
          <w:i w:val="0"/>
          <w:sz w:val="20"/>
        </w:rPr>
        <w:t>A Client whose own procurement rules do not permit an agreement that renews automatically may say so in the Order Form, and renewal is then by the Client's written acceptance. That option carries no change in price.</w:t>
      </w:r>
    </w:p>
    <w:p>
      <w:pPr>
        <w:spacing w:after="120"/>
      </w:pPr>
      <w:r>
        <w:rPr>
          <w:rFonts w:ascii="Arial" w:hAnsi="Arial"/>
          <w:b/>
          <w:i w:val="0"/>
          <w:sz w:val="20"/>
        </w:rPr>
        <w:t>LAWYER 4</w:t>
      </w:r>
      <w:r>
        <w:rPr>
          <w:rFonts w:ascii="Arial" w:hAnsi="Arial"/>
          <w:b w:val="0"/>
          <w:i w:val="0"/>
          <w:sz w:val="20"/>
        </w:rPr>
        <w:t>: the procurement-rules declaration, and whether the notice periods make the automatic renewal enforceable in a business to business contract.</w:t>
      </w:r>
    </w:p>
    <w:p>
      <w:pPr>
        <w:spacing w:before="200" w:after="60"/>
      </w:pPr>
      <w:r>
        <w:rPr>
          <w:rFonts w:ascii="Arial" w:hAnsi="Arial"/>
          <w:b/>
          <w:i w:val="0"/>
          <w:sz w:val="22"/>
        </w:rPr>
        <w:t>9. Price and escalation</w:t>
      </w:r>
    </w:p>
    <w:p>
      <w:pPr>
        <w:spacing w:after="120"/>
      </w:pPr>
      <w:r>
        <w:rPr>
          <w:rFonts w:ascii="Arial" w:hAnsi="Arial"/>
          <w:b w:val="0"/>
          <w:i w:val="0"/>
          <w:sz w:val="20"/>
        </w:rPr>
        <w:t>The price is in the Order Form. At each renewal the price increases by not less than the change in the UK Consumer Prices Index (Office for National Statistics, all items, the twelve months to the preceding December). TAO may set a higher increase in the renewal notice. TAO adjusts the price not more than once in a calendar year, measured from the later of the commencement date and the last adjustment.</w:t>
      </w:r>
    </w:p>
    <w:p>
      <w:pPr>
        <w:spacing w:after="120"/>
      </w:pPr>
      <w:r>
        <w:rPr>
          <w:rFonts w:ascii="Arial" w:hAnsi="Arial"/>
          <w:b w:val="0"/>
          <w:i w:val="0"/>
          <w:sz w:val="20"/>
        </w:rPr>
        <w:t>Where the Order Form states a launch schedule or a committed multi-year schedule, those cash figures are the express exception to this clause while they run.</w:t>
      </w:r>
    </w:p>
    <w:p>
      <w:pPr>
        <w:spacing w:after="120"/>
      </w:pPr>
      <w:r>
        <w:rPr>
          <w:rFonts w:ascii="Arial" w:hAnsi="Arial"/>
          <w:b w:val="0"/>
          <w:i w:val="0"/>
          <w:sz w:val="20"/>
        </w:rPr>
        <w:t>New functions come to the Client as priced options. Where TAO builds a function into the core service, TAO may increase the core price at the next renewal by more than this clause requires, stating the increase in the renewal notice, and the Client keeps its right not to renew.</w:t>
      </w:r>
    </w:p>
    <w:p>
      <w:pPr>
        <w:spacing w:after="120"/>
      </w:pPr>
      <w:r>
        <w:rPr>
          <w:rFonts w:ascii="Arial" w:hAnsi="Arial"/>
          <w:b/>
          <w:i w:val="0"/>
          <w:sz w:val="20"/>
        </w:rPr>
        <w:t>LAWYER 5</w:t>
      </w:r>
      <w:r>
        <w:rPr>
          <w:rFonts w:ascii="Arial" w:hAnsi="Arial"/>
          <w:b w:val="0"/>
          <w:i w:val="0"/>
          <w:sz w:val="20"/>
        </w:rPr>
        <w:t>: draft the exception so that this clause and the Order Form's cash schedules cannot be read against each other, and so that the core-price increase holds as more than a unilateral variation.</w:t>
      </w:r>
    </w:p>
    <w:p>
      <w:pPr>
        <w:spacing w:before="200" w:after="60"/>
      </w:pPr>
      <w:r>
        <w:rPr>
          <w:rFonts w:ascii="Arial" w:hAnsi="Arial"/>
          <w:b/>
          <w:i w:val="0"/>
          <w:sz w:val="22"/>
        </w:rPr>
        <w:t>10. Payment</w:t>
      </w:r>
    </w:p>
    <w:p>
      <w:pPr>
        <w:spacing w:after="120"/>
      </w:pPr>
      <w:r>
        <w:rPr>
          <w:rFonts w:ascii="Arial" w:hAnsi="Arial"/>
          <w:b w:val="0"/>
          <w:i w:val="0"/>
          <w:sz w:val="20"/>
        </w:rPr>
        <w:t>TAO invoices annually in advance on signature. The Client pays within 14 days. All prices exclude VAT and are in sterling. There is no discount for early payment.</w:t>
      </w:r>
    </w:p>
    <w:p>
      <w:pPr>
        <w:spacing w:after="120"/>
      </w:pPr>
      <w:r>
        <w:rPr>
          <w:rFonts w:ascii="Arial" w:hAnsi="Arial"/>
          <w:b w:val="0"/>
          <w:i w:val="0"/>
          <w:sz w:val="20"/>
        </w:rPr>
        <w:t>Where the Order Form states quarterly payment, the licence remains annual: the Client owes the whole Licence Year from signature, and an instalment plan does not shorten the commitment. If an instalment is not paid, TAO may suspend access until it is paid and the year remains due as a debt.</w:t>
      </w:r>
    </w:p>
    <w:p>
      <w:pPr>
        <w:spacing w:after="120"/>
      </w:pPr>
      <w:r>
        <w:rPr>
          <w:rFonts w:ascii="Arial" w:hAnsi="Arial"/>
          <w:b w:val="0"/>
          <w:i w:val="0"/>
          <w:sz w:val="20"/>
        </w:rPr>
        <w:t>TAO may terminate where the Client fails to pay an undisputed invoice within 10 days of written notice, or where undisputed payments default twice in any twelve months.</w:t>
      </w:r>
    </w:p>
    <w:p>
      <w:pPr>
        <w:spacing w:after="120"/>
      </w:pPr>
      <w:r>
        <w:rPr>
          <w:rFonts w:ascii="Arial" w:hAnsi="Arial"/>
          <w:b/>
          <w:i w:val="0"/>
          <w:sz w:val="20"/>
        </w:rPr>
        <w:t>SLOT 1</w:t>
      </w:r>
      <w:r>
        <w:rPr>
          <w:rFonts w:ascii="Arial" w:hAnsi="Arial"/>
          <w:b w:val="0"/>
          <w:i w:val="0"/>
          <w:sz w:val="20"/>
        </w:rPr>
        <w:t>: TAO's VAT status, which John states, and which decides whether invoices carry VAT.</w:t>
      </w:r>
    </w:p>
    <w:p>
      <w:pPr>
        <w:spacing w:before="200" w:after="60"/>
      </w:pPr>
      <w:r>
        <w:rPr>
          <w:rFonts w:ascii="Arial" w:hAnsi="Arial"/>
          <w:b/>
          <w:i w:val="0"/>
          <w:sz w:val="22"/>
        </w:rPr>
        <w:t>11. The continuity discount</w:t>
      </w:r>
    </w:p>
    <w:p>
      <w:pPr>
        <w:spacing w:after="120"/>
      </w:pPr>
      <w:r>
        <w:rPr>
          <w:rFonts w:ascii="Arial" w:hAnsi="Arial"/>
          <w:b w:val="0"/>
          <w:i w:val="0"/>
          <w:sz w:val="20"/>
        </w:rPr>
        <w:t>From the first renewal the Client pays 5% below the List Price for its band, for as long as the licence runs without a break. The discount is taken off the List Price of the year, never off the price last paid.</w:t>
      </w:r>
    </w:p>
    <w:p>
      <w:pPr>
        <w:spacing w:after="120"/>
      </w:pPr>
      <w:r>
        <w:rPr>
          <w:rFonts w:ascii="Arial" w:hAnsi="Arial"/>
          <w:b w:val="0"/>
          <w:i w:val="0"/>
          <w:sz w:val="20"/>
        </w:rPr>
        <w:t>The discount is lost entirely if the licence lapses. It does not apply while a committed multi-year schedule runs. A Client whose licence lapses and who later returns pays a re-onboarding fee of £2,500, which covers re-provisioning the account and reloading the catchment, and loses any remaining launch years.</w:t>
      </w:r>
    </w:p>
    <w:p>
      <w:pPr>
        <w:spacing w:before="200" w:after="60"/>
      </w:pPr>
      <w:r>
        <w:rPr>
          <w:rFonts w:ascii="Arial" w:hAnsi="Arial"/>
          <w:b/>
          <w:i w:val="0"/>
          <w:sz w:val="22"/>
        </w:rPr>
        <w:t>12. Adding airports</w:t>
      </w:r>
    </w:p>
    <w:p>
      <w:pPr>
        <w:spacing w:after="120"/>
      </w:pPr>
      <w:r>
        <w:rPr>
          <w:rFonts w:ascii="Arial" w:hAnsi="Arial"/>
          <w:b w:val="0"/>
          <w:i w:val="0"/>
          <w:sz w:val="20"/>
        </w:rPr>
        <w:t>The Client adds airports by signing a new Order Form. Where the count moves the Client into another band, the price becomes that band's price in full from the date of the new Order Form, and the renewal date does not change. Where a launch schedule runs, the launch percentage for the year applies to the new band.</w:t>
      </w:r>
    </w:p>
    <w:p>
      <w:pPr>
        <w:spacing w:after="120"/>
      </w:pPr>
      <w:r>
        <w:rPr>
          <w:rFonts w:ascii="Arial" w:hAnsi="Arial"/>
          <w:b w:val="0"/>
          <w:i w:val="0"/>
          <w:sz w:val="20"/>
        </w:rPr>
        <w:t>TAO states the cost and the timing of any change before either party is bound by it.</w:t>
      </w:r>
    </w:p>
    <w:p>
      <w:pPr>
        <w:spacing w:before="200" w:after="60"/>
      </w:pPr>
      <w:r>
        <w:rPr>
          <w:rFonts w:ascii="Arial" w:hAnsi="Arial"/>
          <w:b/>
          <w:i w:val="0"/>
          <w:sz w:val="22"/>
        </w:rPr>
        <w:t>13. What the forecast is, and what it is not</w:t>
      </w:r>
    </w:p>
    <w:p>
      <w:pPr>
        <w:spacing w:after="120"/>
      </w:pPr>
      <w:r>
        <w:rPr>
          <w:rFonts w:ascii="Arial" w:hAnsi="Arial"/>
          <w:b w:val="0"/>
          <w:i w:val="0"/>
          <w:sz w:val="20"/>
        </w:rPr>
        <w:t>Meridian builds a forecast step by step from measured demand, and every forecast carries its own calibrated range. On the calibration record behind it: calibrated leads are within 20% of the outcome 89% of the time and within 10% 82% of the time, on 2,915 real launches; blind results are reported as portfolios only, never as a single route.</w:t>
      </w:r>
    </w:p>
    <w:p>
      <w:pPr>
        <w:spacing w:after="120"/>
      </w:pPr>
      <w:r>
        <w:rPr>
          <w:rFonts w:ascii="Arial" w:hAnsi="Arial"/>
          <w:b w:val="0"/>
          <w:i w:val="0"/>
          <w:sz w:val="20"/>
        </w:rPr>
        <w:t>TAO publishes that record and updates it annually as a matter of practice. Nothing in these terms obliges TAO to publish it.</w:t>
      </w:r>
    </w:p>
    <w:p>
      <w:pPr>
        <w:spacing w:after="120"/>
      </w:pPr>
      <w:r>
        <w:rPr>
          <w:rFonts w:ascii="Arial" w:hAnsi="Arial"/>
          <w:b w:val="0"/>
          <w:i w:val="0"/>
          <w:sz w:val="20"/>
        </w:rPr>
        <w:t>The aircraft economics outputs carry the standard disclaimer, which reads as it reads in the service:</w:t>
      </w:r>
    </w:p>
    <w:p>
      <w:pPr>
        <w:spacing w:after="80"/>
        <w:ind w:left="454"/>
      </w:pPr>
      <w:r>
        <w:rPr>
          <w:rFonts w:ascii="Arial" w:hAnsi="Arial"/>
          <w:b w:val="0"/>
          <w:i/>
          <w:color w:val="595959"/>
          <w:sz w:val="17"/>
        </w:rPr>
        <w:t>These aircraft economics outputs are indicative and intended for directional planning and</w:t>
      </w:r>
    </w:p>
    <w:p>
      <w:pPr>
        <w:spacing w:after="80"/>
        <w:ind w:left="454"/>
      </w:pPr>
      <w:r>
        <w:rPr>
          <w:rFonts w:ascii="Arial" w:hAnsi="Arial"/>
          <w:b w:val="0"/>
          <w:i/>
          <w:color w:val="595959"/>
          <w:sz w:val="17"/>
        </w:rPr>
        <w:t>comparison only. They are not a statement of the actual cost or profitability of any specific</w:t>
      </w:r>
    </w:p>
    <w:p>
      <w:pPr>
        <w:spacing w:after="80"/>
        <w:ind w:left="454"/>
      </w:pPr>
      <w:r>
        <w:rPr>
          <w:rFonts w:ascii="Arial" w:hAnsi="Arial"/>
          <w:b w:val="0"/>
          <w:i/>
          <w:color w:val="595959"/>
          <w:sz w:val="17"/>
        </w:rPr>
        <w:t>airline, aircraft or route. The figures are built from generic and published industry</w:t>
      </w:r>
    </w:p>
    <w:p>
      <w:pPr>
        <w:spacing w:after="80"/>
        <w:ind w:left="454"/>
      </w:pPr>
      <w:r>
        <w:rPr>
          <w:rFonts w:ascii="Arial" w:hAnsi="Arial"/>
          <w:b w:val="0"/>
          <w:i/>
          <w:color w:val="595959"/>
          <w:sz w:val="17"/>
        </w:rPr>
        <w:t>assumptions, including appraiser lease rates and values, OEM-indicative maintenance reserves,</w:t>
      </w:r>
    </w:p>
    <w:p>
      <w:pPr>
        <w:spacing w:after="80"/>
        <w:ind w:left="454"/>
      </w:pPr>
      <w:r>
        <w:rPr>
          <w:rFonts w:ascii="Arial" w:hAnsi="Arial"/>
          <w:b w:val="0"/>
          <w:i/>
          <w:color w:val="595959"/>
          <w:sz w:val="17"/>
        </w:rPr>
        <w:t>standardised utilisation by airline business model, and published or benchmark airport and air</w:t>
      </w:r>
    </w:p>
    <w:p>
      <w:pPr>
        <w:spacing w:after="80"/>
        <w:ind w:left="454"/>
      </w:pPr>
      <w:r>
        <w:rPr>
          <w:rFonts w:ascii="Arial" w:hAnsi="Arial"/>
          <w:b w:val="0"/>
          <w:i/>
          <w:color w:val="595959"/>
          <w:sz w:val="17"/>
        </w:rPr>
        <w:t>navigation charges. They do not reflect any individual operator's cabin configuration (LOPA),</w:t>
      </w:r>
    </w:p>
    <w:p>
      <w:pPr>
        <w:spacing w:after="80"/>
        <w:ind w:left="454"/>
      </w:pPr>
      <w:r>
        <w:rPr>
          <w:rFonts w:ascii="Arial" w:hAnsi="Arial"/>
          <w:b w:val="0"/>
          <w:i/>
          <w:color w:val="595959"/>
          <w:sz w:val="17"/>
        </w:rPr>
        <w:t>specific weight variant (MTOW), negotiated aircraft acquisition or lease terms, fuel hedging</w:t>
      </w:r>
    </w:p>
    <w:p>
      <w:pPr>
        <w:spacing w:after="80"/>
        <w:ind w:left="454"/>
      </w:pPr>
      <w:r>
        <w:rPr>
          <w:rFonts w:ascii="Arial" w:hAnsi="Arial"/>
          <w:b w:val="0"/>
          <w:i/>
          <w:color w:val="595959"/>
          <w:sz w:val="17"/>
        </w:rPr>
        <w:t>position, maintenance or component support agreements, crew costs, overhead structure,</w:t>
      </w:r>
    </w:p>
    <w:p>
      <w:pPr>
        <w:spacing w:after="80"/>
        <w:ind w:left="454"/>
      </w:pPr>
      <w:r>
        <w:rPr>
          <w:rFonts w:ascii="Arial" w:hAnsi="Arial"/>
          <w:b w:val="0"/>
          <w:i/>
          <w:color w:val="595959"/>
          <w:sz w:val="17"/>
        </w:rPr>
        <w:t>ancillary revenue or internal accounting policies. Actual results will differ, in some cases</w:t>
      </w:r>
    </w:p>
    <w:p>
      <w:pPr>
        <w:spacing w:after="80"/>
        <w:ind w:left="454"/>
      </w:pPr>
      <w:r>
        <w:rPr>
          <w:rFonts w:ascii="Arial" w:hAnsi="Arial"/>
          <w:b w:val="0"/>
          <w:i/>
          <w:color w:val="595959"/>
          <w:sz w:val="17"/>
        </w:rPr>
        <w:t>materially. These outputs should not be relied upon as a forecast of any particular operator's</w:t>
      </w:r>
    </w:p>
    <w:p>
      <w:pPr>
        <w:spacing w:after="80"/>
        <w:ind w:left="454"/>
      </w:pPr>
      <w:r>
        <w:rPr>
          <w:rFonts w:ascii="Arial" w:hAnsi="Arial"/>
          <w:b w:val="0"/>
          <w:i/>
          <w:color w:val="595959"/>
          <w:sz w:val="17"/>
        </w:rPr>
        <w:t xml:space="preserve">results, and Avia Solutions accepts no liability for any decision taken on the basis of them. </w:t>
      </w:r>
      <w:r>
        <w:rPr>
          <w:rFonts w:ascii="Arial" w:hAnsi="Arial"/>
          <w:b/>
          <w:i/>
          <w:color w:val="595959"/>
          <w:sz w:val="17"/>
        </w:rPr>
        <w:t>LAWYER 6</w:t>
      </w:r>
      <w:r>
        <w:rPr>
          <w:rFonts w:ascii="Arial" w:hAnsi="Arial"/>
          <w:b w:val="0"/>
          <w:i/>
          <w:color w:val="595959"/>
          <w:sz w:val="17"/>
        </w:rPr>
        <w:t>: the disclaimer names Avia Solutions Limited and the contracting party is now The Aviation Observatory Limited. Either the wording in the service changes to name TAO, or this clause names both and says which one the Client contracts with. It cannot stay as it is once TAO signs the contract.</w:t>
      </w:r>
    </w:p>
    <w:p>
      <w:pPr>
        <w:spacing w:before="200" w:after="60"/>
      </w:pPr>
      <w:r>
        <w:rPr>
          <w:rFonts w:ascii="Arial" w:hAnsi="Arial"/>
          <w:b/>
          <w:i w:val="0"/>
          <w:sz w:val="22"/>
        </w:rPr>
        <w:t>14. The data behind the outputs</w:t>
      </w:r>
    </w:p>
    <w:p>
      <w:pPr>
        <w:spacing w:after="120"/>
      </w:pPr>
      <w:r>
        <w:rPr>
          <w:rFonts w:ascii="Arial" w:hAnsi="Arial"/>
          <w:b w:val="0"/>
          <w:i w:val="0"/>
          <w:sz w:val="20"/>
        </w:rPr>
        <w:t>Meridian is built on subscriptions to OAG and Sabre data. Both providers have confirmed on calls, with witnesses present, that the service may be used and its outputs shared. TAO is obtaining that confirmation in writing and will provide it to the Client on request.</w:t>
      </w:r>
    </w:p>
    <w:p>
      <w:pPr>
        <w:spacing w:after="120"/>
      </w:pPr>
      <w:r>
        <w:rPr>
          <w:rFonts w:ascii="Arial" w:hAnsi="Arial"/>
          <w:b w:val="0"/>
          <w:i w:val="0"/>
          <w:sz w:val="20"/>
        </w:rPr>
        <w:t>TAO gives no warranty that third-party data is accurate or complete. TAO corrects its own errors in the forecast where the Client reports them.</w:t>
      </w:r>
    </w:p>
    <w:p>
      <w:pPr>
        <w:spacing w:after="120"/>
      </w:pPr>
      <w:r>
        <w:rPr>
          <w:rFonts w:ascii="Arial" w:hAnsi="Arial"/>
          <w:b/>
          <w:i w:val="0"/>
          <w:sz w:val="20"/>
        </w:rPr>
        <w:t>LAWYER 7</w:t>
      </w:r>
      <w:r>
        <w:rPr>
          <w:rFonts w:ascii="Arial" w:hAnsi="Arial"/>
          <w:b w:val="0"/>
          <w:i w:val="0"/>
          <w:sz w:val="20"/>
        </w:rPr>
        <w:t>: the third-party data warranty, and the position if a provider later restricts sharing. Clause 17 carries the consequence; this clause carries the warranty. It remains the largest exposure in the document, and the written confirmations are the answer to it.</w:t>
      </w:r>
    </w:p>
    <w:p>
      <w:pPr>
        <w:spacing w:before="200" w:after="60"/>
      </w:pPr>
      <w:r>
        <w:rPr>
          <w:rFonts w:ascii="Arial" w:hAnsi="Arial"/>
          <w:b/>
          <w:i w:val="0"/>
          <w:sz w:val="22"/>
        </w:rPr>
        <w:t>15. Warranty</w:t>
      </w:r>
    </w:p>
    <w:p>
      <w:pPr>
        <w:spacing w:after="120"/>
      </w:pPr>
      <w:r>
        <w:rPr>
          <w:rFonts w:ascii="Arial" w:hAnsi="Arial"/>
          <w:b w:val="0"/>
          <w:i w:val="0"/>
          <w:sz w:val="20"/>
        </w:rPr>
        <w:t>TAO warrants that it provides Meridian with reasonable care and skill and that it has the right to grant this licence. TAO does not warrant that any forecast will match an outcome.</w:t>
      </w:r>
    </w:p>
    <w:p>
      <w:pPr>
        <w:spacing w:before="200" w:after="60"/>
      </w:pPr>
      <w:r>
        <w:rPr>
          <w:rFonts w:ascii="Arial" w:hAnsi="Arial"/>
          <w:b/>
          <w:i w:val="0"/>
          <w:sz w:val="22"/>
        </w:rPr>
        <w:t>16. Liability</w:t>
      </w:r>
    </w:p>
    <w:p>
      <w:pPr>
        <w:spacing w:after="120"/>
      </w:pPr>
      <w:r>
        <w:rPr>
          <w:rFonts w:ascii="Arial" w:hAnsi="Arial"/>
          <w:b w:val="0"/>
          <w:i w:val="0"/>
          <w:sz w:val="20"/>
        </w:rPr>
        <w:t>TAO accepts no liability for any decision the Client takes on the basis of any output.</w:t>
      </w:r>
    </w:p>
    <w:p>
      <w:pPr>
        <w:spacing w:after="120"/>
      </w:pPr>
      <w:r>
        <w:rPr>
          <w:rFonts w:ascii="Arial" w:hAnsi="Arial"/>
          <w:b w:val="0"/>
          <w:i w:val="0"/>
          <w:sz w:val="20"/>
        </w:rPr>
        <w:t>TAO's total liability is capped at the fees the Client has paid in the twelve months before the claim. A claim must be brought within one year of the date it accrues. Nothing limits liability that cannot be limited by law.</w:t>
      </w:r>
    </w:p>
    <w:p>
      <w:pPr>
        <w:spacing w:after="120"/>
      </w:pPr>
      <w:r>
        <w:rPr>
          <w:rFonts w:ascii="Arial" w:hAnsi="Arial"/>
          <w:b/>
          <w:i w:val="0"/>
          <w:sz w:val="20"/>
        </w:rPr>
        <w:t>LAWYER 8</w:t>
      </w:r>
      <w:r>
        <w:rPr>
          <w:rFonts w:ascii="Arial" w:hAnsi="Arial"/>
          <w:b w:val="0"/>
          <w:i w:val="0"/>
          <w:sz w:val="20"/>
        </w:rPr>
        <w:t>: the cap, its carve-outs and the claims period. The basis is fees paid; the figure and the exclusions are the solicitor's.</w:t>
      </w:r>
    </w:p>
    <w:p>
      <w:pPr>
        <w:spacing w:before="200" w:after="60"/>
      </w:pPr>
      <w:r>
        <w:rPr>
          <w:rFonts w:ascii="Arial" w:hAnsi="Arial"/>
          <w:b/>
          <w:i w:val="0"/>
          <w:sz w:val="22"/>
        </w:rPr>
        <w:t>17. TAO suspending or withdrawing the service</w:t>
      </w:r>
    </w:p>
    <w:p>
      <w:pPr>
        <w:spacing w:after="120"/>
      </w:pPr>
      <w:r>
        <w:rPr>
          <w:rFonts w:ascii="Arial" w:hAnsi="Arial"/>
          <w:b w:val="0"/>
          <w:i w:val="0"/>
          <w:sz w:val="20"/>
        </w:rPr>
        <w:t xml:space="preserve">TAO may retire Meridian on </w:t>
      </w:r>
      <w:r>
        <w:rPr>
          <w:rFonts w:ascii="Arial" w:hAnsi="Arial"/>
          <w:b/>
          <w:i w:val="0"/>
          <w:sz w:val="20"/>
        </w:rPr>
        <w:t>SLOT 2</w:t>
      </w:r>
      <w:r>
        <w:rPr>
          <w:rFonts w:ascii="Arial" w:hAnsi="Arial"/>
          <w:b w:val="0"/>
          <w:i w:val="0"/>
          <w:sz w:val="20"/>
        </w:rPr>
        <w:t xml:space="preserve"> (notice to retire the service. W5 recommends twelve months, which is what Sabre gives Avia and what Avia therefore accepts as reasonable) months' written notice, offering the Client any replacement then available and the right to let the licence lapse.</w:t>
      </w:r>
    </w:p>
    <w:p>
      <w:pPr>
        <w:spacing w:after="120"/>
      </w:pPr>
      <w:r>
        <w:rPr>
          <w:rFonts w:ascii="Arial" w:hAnsi="Arial"/>
          <w:b w:val="0"/>
          <w:i w:val="0"/>
          <w:sz w:val="20"/>
        </w:rPr>
        <w:t>Where TAO loses or has restricted a licence to data on which Meridian depends, TAO gives as much notice as it is able to give and may suspend or end the service on that notice. In either case TAO refunds the unused part of the Licence Year, calculated to the day, within 30 days. The Client keeps every output already delivered and may continue to use it under clause 6. Neither party has further liability to the other.</w:t>
      </w:r>
    </w:p>
    <w:p>
      <w:pPr>
        <w:spacing w:after="120"/>
      </w:pPr>
      <w:r>
        <w:rPr>
          <w:rFonts w:ascii="Arial" w:hAnsi="Arial"/>
          <w:b/>
          <w:i w:val="0"/>
          <w:sz w:val="20"/>
        </w:rPr>
        <w:t>LAWYER 9</w:t>
      </w:r>
      <w:r>
        <w:rPr>
          <w:rFonts w:ascii="Arial" w:hAnsi="Arial"/>
          <w:b w:val="0"/>
          <w:i w:val="0"/>
          <w:sz w:val="20"/>
        </w:rPr>
        <w:t>: John's instruction is that the solicitor drafts this clause. "As much notice as it is able to give" needs wording that does not empty the obligation.</w:t>
      </w:r>
    </w:p>
    <w:p>
      <w:pPr>
        <w:spacing w:before="200" w:after="60"/>
      </w:pPr>
      <w:r>
        <w:rPr>
          <w:rFonts w:ascii="Arial" w:hAnsi="Arial"/>
          <w:b/>
          <w:i w:val="0"/>
          <w:sz w:val="22"/>
        </w:rPr>
        <w:t>18. Termination</w:t>
      </w:r>
    </w:p>
    <w:p>
      <w:pPr>
        <w:spacing w:after="120"/>
      </w:pPr>
      <w:r>
        <w:rPr>
          <w:rFonts w:ascii="Arial" w:hAnsi="Arial"/>
          <w:b w:val="0"/>
          <w:i w:val="0"/>
          <w:sz w:val="20"/>
        </w:rPr>
        <w:t>Either party may terminate for material breach that is not put right within 60 days of written notice, and for non-payment under clause 10. Either party may terminate on the other's insolvency.</w:t>
      </w:r>
    </w:p>
    <w:p>
      <w:pPr>
        <w:spacing w:after="120"/>
      </w:pPr>
      <w:r>
        <w:rPr>
          <w:rFonts w:ascii="Arial" w:hAnsi="Arial"/>
          <w:b w:val="0"/>
          <w:i w:val="0"/>
          <w:sz w:val="20"/>
        </w:rPr>
        <w:t>On termination the Client's right to run Meridian ends, the Client stops using the service and erases its copies of any software, and an officer of the Client confirms in writing that it has done so. Outputs already delivered remain the Client's and it may continue to use them under clause 6.</w:t>
      </w:r>
    </w:p>
    <w:p>
      <w:pPr>
        <w:spacing w:after="120"/>
      </w:pPr>
      <w:r>
        <w:rPr>
          <w:rFonts w:ascii="Arial" w:hAnsi="Arial"/>
          <w:b/>
          <w:i w:val="0"/>
          <w:sz w:val="20"/>
        </w:rPr>
        <w:t>LAWYER 10</w:t>
      </w:r>
      <w:r>
        <w:rPr>
          <w:rFonts w:ascii="Arial" w:hAnsi="Arial"/>
          <w:b w:val="0"/>
          <w:i w:val="0"/>
          <w:sz w:val="20"/>
        </w:rPr>
        <w:t>: confirm that a pack already sent to an airline is unaffected by termination. The answer should plainly be no effect, and the Client needs to be able to see that in the wording.</w:t>
      </w:r>
    </w:p>
    <w:p>
      <w:pPr>
        <w:spacing w:before="200" w:after="60"/>
      </w:pPr>
      <w:r>
        <w:rPr>
          <w:rFonts w:ascii="Arial" w:hAnsi="Arial"/>
          <w:b/>
          <w:i w:val="0"/>
          <w:sz w:val="22"/>
        </w:rPr>
        <w:t>19. Confidentiality</w:t>
      </w:r>
    </w:p>
    <w:p>
      <w:pPr>
        <w:spacing w:after="120"/>
      </w:pPr>
      <w:r>
        <w:rPr>
          <w:rFonts w:ascii="Arial" w:hAnsi="Arial"/>
          <w:b w:val="0"/>
          <w:i w:val="0"/>
          <w:sz w:val="20"/>
        </w:rPr>
        <w:t>Each party keeps the other's confidential information confidential and uses it only for this agreement. The Client's routes, forecasts and outputs are the Client's confidential information.</w:t>
      </w:r>
    </w:p>
    <w:p>
      <w:pPr>
        <w:spacing w:before="200" w:after="60"/>
      </w:pPr>
      <w:r>
        <w:rPr>
          <w:rFonts w:ascii="Arial" w:hAnsi="Arial"/>
          <w:b/>
          <w:i w:val="0"/>
          <w:sz w:val="22"/>
        </w:rPr>
        <w:t>20. Data handling</w:t>
      </w:r>
    </w:p>
    <w:p>
      <w:pPr>
        <w:spacing w:after="120"/>
      </w:pPr>
      <w:r>
        <w:rPr>
          <w:rFonts w:ascii="Arial" w:hAnsi="Arial"/>
          <w:b w:val="0"/>
          <w:i w:val="0"/>
          <w:sz w:val="20"/>
        </w:rPr>
        <w:t>TAO stores no Client data. It stores the outputs Meridian generates, the routes run and the identity of the named user who ran them, on its own infrastructure, for support and for improving the service. Nothing goes to a third party.</w:t>
      </w:r>
    </w:p>
    <w:p>
      <w:pPr>
        <w:spacing w:after="120"/>
      </w:pPr>
      <w:r>
        <w:rPr>
          <w:rFonts w:ascii="Arial" w:hAnsi="Arial"/>
          <w:b/>
          <w:i w:val="0"/>
          <w:sz w:val="20"/>
        </w:rPr>
        <w:t>LAWYER 11</w:t>
      </w:r>
      <w:r>
        <w:rPr>
          <w:rFonts w:ascii="Arial" w:hAnsi="Arial"/>
          <w:b w:val="0"/>
          <w:i w:val="0"/>
          <w:sz w:val="20"/>
        </w:rPr>
        <w:t>: the named users are identified people. This needs the privacy wording and a view on whether a data processing agreement is required.</w:t>
      </w:r>
    </w:p>
    <w:p>
      <w:pPr>
        <w:spacing w:before="200" w:after="60"/>
      </w:pPr>
      <w:r>
        <w:rPr>
          <w:rFonts w:ascii="Arial" w:hAnsi="Arial"/>
          <w:b/>
          <w:i w:val="0"/>
          <w:sz w:val="22"/>
        </w:rPr>
        <w:t>21. Marketing and references</w:t>
      </w:r>
    </w:p>
    <w:p>
      <w:pPr>
        <w:spacing w:after="120"/>
      </w:pPr>
      <w:r>
        <w:rPr>
          <w:rFonts w:ascii="Arial" w:hAnsi="Arial"/>
          <w:b w:val="0"/>
          <w:i w:val="0"/>
          <w:sz w:val="20"/>
        </w:rPr>
        <w:t>Where the Order Form records the launch terms, the Client agrees to act as a reference for TAO and to allow TAO to use its name and brand. That covers references to other prospective clients, a press release, a public quotation, imagery, demonstrations and media interviews. Each use is subject to the Client's approval in advance, and the Client may withdraw its approval for any future use.</w:t>
      </w:r>
    </w:p>
    <w:p>
      <w:pPr>
        <w:spacing w:after="120"/>
      </w:pPr>
      <w:r>
        <w:rPr>
          <w:rFonts w:ascii="Arial" w:hAnsi="Arial"/>
          <w:b/>
          <w:i w:val="0"/>
          <w:sz w:val="20"/>
        </w:rPr>
        <w:t>LAWYER 12</w:t>
      </w:r>
      <w:r>
        <w:rPr>
          <w:rFonts w:ascii="Arial" w:hAnsi="Arial"/>
          <w:b w:val="0"/>
          <w:i w:val="0"/>
          <w:sz w:val="20"/>
        </w:rPr>
        <w:t>: this is the launch condition written properly. The approval and withdrawal wording is what makes it acceptable to a public-sector client.</w:t>
      </w:r>
    </w:p>
    <w:p>
      <w:pPr>
        <w:spacing w:before="200" w:after="60"/>
      </w:pPr>
      <w:r>
        <w:rPr>
          <w:rFonts w:ascii="Arial" w:hAnsi="Arial"/>
          <w:b/>
          <w:i w:val="0"/>
          <w:sz w:val="22"/>
        </w:rPr>
        <w:t>22. Insurance</w:t>
      </w:r>
    </w:p>
    <w:p>
      <w:pPr>
        <w:spacing w:after="120"/>
      </w:pPr>
      <w:r>
        <w:rPr>
          <w:rFonts w:ascii="Arial" w:hAnsi="Arial"/>
          <w:b w:val="0"/>
          <w:i w:val="0"/>
          <w:sz w:val="20"/>
        </w:rPr>
        <w:t xml:space="preserve">TAO holds professional indemnity insurance. </w:t>
      </w:r>
      <w:r>
        <w:rPr>
          <w:rFonts w:ascii="Arial" w:hAnsi="Arial"/>
          <w:b/>
          <w:i w:val="0"/>
          <w:sz w:val="20"/>
        </w:rPr>
        <w:t>SLOT 3</w:t>
      </w:r>
      <w:r>
        <w:rPr>
          <w:rFonts w:ascii="Arial" w:hAnsi="Arial"/>
          <w:b w:val="0"/>
          <w:i w:val="0"/>
          <w:sz w:val="20"/>
        </w:rPr>
        <w:t>: the insurance wording, which is written to the cover as extended to The Aviation Observatory Limited and waits on the insurer's proposal. No client contract is signed before the cover is in place.</w:t>
      </w:r>
    </w:p>
    <w:p>
      <w:pPr>
        <w:spacing w:before="200" w:after="60"/>
      </w:pPr>
      <w:r>
        <w:rPr>
          <w:rFonts w:ascii="Arial" w:hAnsi="Arial"/>
          <w:b/>
          <w:i w:val="0"/>
          <w:sz w:val="22"/>
        </w:rPr>
        <w:t>23. Support</w:t>
      </w:r>
    </w:p>
    <w:p>
      <w:pPr>
        <w:spacing w:after="120"/>
      </w:pPr>
      <w:r>
        <w:rPr>
          <w:rFonts w:ascii="Arial" w:hAnsi="Arial"/>
          <w:b w:val="0"/>
          <w:i w:val="0"/>
          <w:sz w:val="20"/>
        </w:rPr>
        <w:t xml:space="preserve">The Client raises support at </w:t>
      </w:r>
      <w:r>
        <w:rPr>
          <w:rFonts w:ascii="Arial" w:hAnsi="Arial"/>
          <w:b/>
          <w:i w:val="0"/>
          <w:sz w:val="20"/>
        </w:rPr>
        <w:t>SLOT 4</w:t>
      </w:r>
      <w:r>
        <w:rPr>
          <w:rFonts w:ascii="Arial" w:hAnsi="Arial"/>
          <w:b w:val="0"/>
          <w:i w:val="0"/>
          <w:sz w:val="20"/>
        </w:rPr>
        <w:t xml:space="preserve"> (the support address, the person who reads it every working day, and the response time this clause promises). TAO gives the Client the current known-issues list at onboarding and tells the Client when it changes materially.</w:t>
      </w:r>
    </w:p>
    <w:p>
      <w:pPr>
        <w:spacing w:after="120"/>
      </w:pPr>
      <w:r>
        <w:rPr>
          <w:rFonts w:ascii="Arial" w:hAnsi="Arial"/>
          <w:b/>
          <w:i w:val="0"/>
          <w:sz w:val="20"/>
        </w:rPr>
        <w:t>LAWYER 13</w:t>
      </w:r>
      <w:r>
        <w:rPr>
          <w:rFonts w:ascii="Arial" w:hAnsi="Arial"/>
          <w:b w:val="0"/>
          <w:i w:val="0"/>
          <w:sz w:val="20"/>
        </w:rPr>
        <w:t>: whether the response time is drafted as an obligation or as a service statement. Avia has one named reader, so it should be a statement of practice rather than a term with a remedy behind it.</w:t>
      </w:r>
    </w:p>
    <w:p>
      <w:pPr>
        <w:spacing w:before="200" w:after="60"/>
      </w:pPr>
      <w:r>
        <w:rPr>
          <w:rFonts w:ascii="Arial" w:hAnsi="Arial"/>
          <w:b/>
          <w:i w:val="0"/>
          <w:sz w:val="22"/>
        </w:rPr>
        <w:t>24. General</w:t>
      </w:r>
    </w:p>
    <w:p>
      <w:pPr>
        <w:spacing w:after="120"/>
      </w:pPr>
      <w:r>
        <w:rPr>
          <w:rFonts w:ascii="Arial" w:hAnsi="Arial"/>
          <w:b w:val="0"/>
          <w:i w:val="0"/>
          <w:sz w:val="20"/>
        </w:rPr>
        <w:t>Neither party assigns this agreement without the other's written consent. Notices are in writing. These terms and the Order Form are the whole agreement. No variation binds either party unless it is in writing.</w:t>
      </w:r>
    </w:p>
    <w:p>
      <w:pPr>
        <w:spacing w:before="200" w:after="60"/>
      </w:pPr>
      <w:r>
        <w:rPr>
          <w:rFonts w:ascii="Arial" w:hAnsi="Arial"/>
          <w:b/>
          <w:i w:val="0"/>
          <w:sz w:val="22"/>
        </w:rPr>
        <w:t>25. Governing law</w:t>
      </w:r>
    </w:p>
    <w:p>
      <w:pPr>
        <w:spacing w:after="120"/>
      </w:pPr>
      <w:r>
        <w:rPr>
          <w:rFonts w:ascii="Arial" w:hAnsi="Arial"/>
          <w:b w:val="0"/>
          <w:i w:val="0"/>
          <w:sz w:val="20"/>
        </w:rPr>
        <w:t>This agreement is governed by the law of England and Wales. The parties submit to the non-exclusive jurisdiction of the courts of England and Wales.</w:t>
      </w:r>
    </w:p>
    <w:p>
      <w:pPr>
        <w:spacing w:after="120"/>
      </w:pPr>
      <w:r>
        <w:rPr>
          <w:rFonts w:ascii="Arial" w:hAnsi="Arial"/>
          <w:b/>
          <w:i w:val="0"/>
          <w:sz w:val="20"/>
        </w:rPr>
        <w:t>LAWYER 14</w:t>
      </w:r>
      <w:r>
        <w:rPr>
          <w:rFonts w:ascii="Arial" w:hAnsi="Arial"/>
          <w:b w:val="0"/>
          <w:i w:val="0"/>
          <w:sz w:val="20"/>
        </w:rPr>
        <w:t>: v0.2 said exclusive jurisdiction and the RDC precedent that this document follows says non-exclusive. W5 has taken non-exclusive as drafted above. The solicitor rules which, because the choice matters for a client outside the United Kingdom.</w:t>
      </w:r>
    </w:p>
    <w:p>
      <w:pPr>
        <w:spacing w:before="200" w:after="60"/>
      </w:pPr>
      <w:r>
        <w:rPr>
          <w:rFonts w:ascii="Arial" w:hAnsi="Arial"/>
          <w:b/>
          <w:i w:val="0"/>
          <w:sz w:val="22"/>
        </w:rPr>
        <w:t>Points for the solicitor, in one list</w:t>
      </w:r>
    </w:p>
    <w:p>
      <w:pPr>
        <w:pStyle w:val="ListNumber"/>
        <w:spacing w:after="40"/>
      </w:pPr>
      <w:r>
        <w:rPr>
          <w:rFonts w:ascii="Arial" w:hAnsi="Arial"/>
          <w:b w:val="0"/>
          <w:i w:val="0"/>
          <w:sz w:val="20"/>
        </w:rPr>
        <w:t>The scope clause, which is what holds the band price up (clause 3).</w:t>
      </w:r>
    </w:p>
    <w:p>
      <w:pPr>
        <w:pStyle w:val="ListNumber"/>
        <w:spacing w:after="40"/>
      </w:pPr>
      <w:r>
        <w:rPr>
          <w:rFonts w:ascii="Arial" w:hAnsi="Arial"/>
          <w:b w:val="0"/>
          <w:i w:val="0"/>
          <w:sz w:val="20"/>
        </w:rPr>
        <w:t>The express restriction that no consultant holds an account (clause 4).</w:t>
      </w:r>
    </w:p>
    <w:p>
      <w:pPr>
        <w:pStyle w:val="ListNumber"/>
        <w:spacing w:after="40"/>
      </w:pPr>
      <w:r>
        <w:rPr>
          <w:rFonts w:ascii="Arial" w:hAnsi="Arial"/>
          <w:b w:val="0"/>
          <w:i w:val="0"/>
          <w:sz w:val="20"/>
        </w:rPr>
        <w:t>Onward use reaching the training or evaluation of machine learning models (clause 6).</w:t>
      </w:r>
    </w:p>
    <w:p>
      <w:pPr>
        <w:pStyle w:val="ListNumber"/>
        <w:spacing w:after="40"/>
      </w:pPr>
      <w:r>
        <w:rPr>
          <w:rFonts w:ascii="Arial" w:hAnsi="Arial"/>
          <w:b w:val="0"/>
          <w:i w:val="0"/>
          <w:sz w:val="20"/>
        </w:rPr>
        <w:t>The procurement-rules declaration and the enforceability of automatic renewal (clause 8).</w:t>
      </w:r>
    </w:p>
    <w:p>
      <w:pPr>
        <w:pStyle w:val="ListNumber"/>
        <w:spacing w:after="40"/>
      </w:pPr>
      <w:r>
        <w:rPr>
          <w:rFonts w:ascii="Arial" w:hAnsi="Arial"/>
          <w:b w:val="0"/>
          <w:i w:val="0"/>
          <w:sz w:val="20"/>
        </w:rPr>
        <w:t>The escalation exception for cash schedules, and the core-price increase (clause 9).</w:t>
      </w:r>
    </w:p>
    <w:p>
      <w:pPr>
        <w:pStyle w:val="ListNumber"/>
        <w:spacing w:after="40"/>
      </w:pPr>
      <w:r>
        <w:rPr>
          <w:rFonts w:ascii="Arial" w:hAnsi="Arial"/>
          <w:b w:val="0"/>
          <w:i w:val="0"/>
          <w:sz w:val="20"/>
        </w:rPr>
        <w:t>The economics disclaimer naming Avia Solutions while TAO Ltd contracts (clause 13).</w:t>
      </w:r>
    </w:p>
    <w:p>
      <w:pPr>
        <w:pStyle w:val="ListNumber"/>
        <w:spacing w:after="40"/>
      </w:pPr>
      <w:r>
        <w:rPr>
          <w:rFonts w:ascii="Arial" w:hAnsi="Arial"/>
          <w:b w:val="0"/>
          <w:i w:val="0"/>
          <w:sz w:val="20"/>
        </w:rPr>
        <w:t>Third-party data warranties, and a provider restricting sharing later (clause 14).</w:t>
      </w:r>
    </w:p>
    <w:p>
      <w:pPr>
        <w:pStyle w:val="ListNumber"/>
        <w:spacing w:after="40"/>
      </w:pPr>
      <w:r>
        <w:rPr>
          <w:rFonts w:ascii="Arial" w:hAnsi="Arial"/>
          <w:b w:val="0"/>
          <w:i w:val="0"/>
          <w:sz w:val="20"/>
        </w:rPr>
        <w:t>The liability cap, its carve-outs and the one-year claims period (clause 16).</w:t>
      </w:r>
    </w:p>
    <w:p>
      <w:pPr>
        <w:pStyle w:val="ListNumber"/>
        <w:spacing w:after="40"/>
      </w:pPr>
      <w:r>
        <w:rPr>
          <w:rFonts w:ascii="Arial" w:hAnsi="Arial"/>
          <w:b w:val="0"/>
          <w:i w:val="0"/>
          <w:sz w:val="20"/>
        </w:rPr>
        <w:t>TAO retiring or suspending the service, which John asked the solicitor to draft (clause 17).</w:t>
      </w:r>
    </w:p>
    <w:p>
      <w:pPr>
        <w:pStyle w:val="ListNumber"/>
        <w:spacing w:after="40"/>
      </w:pPr>
      <w:r>
        <w:rPr>
          <w:rFonts w:ascii="Arial" w:hAnsi="Arial"/>
          <w:b w:val="0"/>
          <w:i w:val="0"/>
          <w:sz w:val="20"/>
        </w:rPr>
        <w:t>Whether a pack already sent to an airline is affected by termination (clause 18).</w:t>
      </w:r>
    </w:p>
    <w:p>
      <w:pPr>
        <w:pStyle w:val="ListNumber"/>
        <w:spacing w:after="40"/>
      </w:pPr>
      <w:r>
        <w:rPr>
          <w:rFonts w:ascii="Arial" w:hAnsi="Arial"/>
          <w:b w:val="0"/>
          <w:i w:val="0"/>
          <w:sz w:val="20"/>
        </w:rPr>
        <w:t>Privacy wording for the named users and whether a data processing agreement is needed (clause 20).</w:t>
      </w:r>
    </w:p>
    <w:p>
      <w:pPr>
        <w:pStyle w:val="ListNumber"/>
        <w:spacing w:after="40"/>
      </w:pPr>
      <w:r>
        <w:rPr>
          <w:rFonts w:ascii="Arial" w:hAnsi="Arial"/>
          <w:b w:val="0"/>
          <w:i w:val="0"/>
          <w:sz w:val="20"/>
        </w:rPr>
        <w:t>The marketing and reference clause, and the Client's approval and withdrawal (clause 21).</w:t>
      </w:r>
    </w:p>
    <w:p>
      <w:pPr>
        <w:pStyle w:val="ListNumber"/>
        <w:spacing w:after="40"/>
      </w:pPr>
      <w:r>
        <w:rPr>
          <w:rFonts w:ascii="Arial" w:hAnsi="Arial"/>
          <w:b w:val="0"/>
          <w:i w:val="0"/>
          <w:sz w:val="20"/>
        </w:rPr>
        <w:t>Whether the support response time is an obligation or a statement of practice (clause 23).</w:t>
      </w:r>
    </w:p>
    <w:p>
      <w:pPr>
        <w:pStyle w:val="ListNumber"/>
        <w:spacing w:after="40"/>
      </w:pPr>
      <w:r>
        <w:rPr>
          <w:rFonts w:ascii="Arial" w:hAnsi="Arial"/>
          <w:b w:val="0"/>
          <w:i w:val="0"/>
          <w:sz w:val="20"/>
        </w:rPr>
        <w:t>Exclusive or non-exclusive jurisdiction (clause 25).</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595959"/>
        <w:sz w:val="16"/>
      </w:rPr>
      <w:t xml:space="preserve">- DRAFT -   </w:t>
    </w:r>
    <w:r>
      <w:rPr>
        <w:rFonts w:ascii="Arial" w:hAnsi="Arial"/>
        <w:b w:val="0"/>
        <w:i w:val="0"/>
        <w:color w:val="595959"/>
        <w:sz w:val="16"/>
      </w:rPr>
      <w:t xml:space="preserve">P: </w:t>
    </w:r>
    <w:r>
      <w:rPr>
        <w:rFonts w:ascii="Arial" w:hAnsi="Arial"/>
        <w:color w:val="595959"/>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Standard Terms, draft v0.3</dc:title>
  <dc:subject/>
  <dc:creator>Avia Solutions</dc:creator>
  <cp:keywords/>
  <dc:description>DRAFT for legal review, not for issue to a client</dc:description>
  <cp:lastModifiedBy>Avia Solutions</cp:lastModifiedBy>
  <cp:revision>1</cp:revision>
  <dcterms:created xsi:type="dcterms:W3CDTF">2013-12-23T23:15:00Z</dcterms:created>
  <dcterms:modified xsi:type="dcterms:W3CDTF">2013-12-23T23:15:00Z</dcterms:modified>
  <cp:category>Meridian, World Routes 2026</cp:category>
</cp:coreProperties>
</file>