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A9D8F"/>
          <w:sz w:val="18"/>
          <w:szCs w:val="18"/>
        </w:rPr>
        <w:t xml:space="preserve">AVIA SOLUTIONS</w:t>
      </w:r>
    </w:p>
    <w:p>
      <w:pPr>
        <w:spacing w:after="40"/>
      </w:pPr>
      <w:r>
        <w:rPr>
          <w:b/>
          <w:bCs/>
          <w:color w:val="16324F"/>
          <w:sz w:val="36"/>
          <w:szCs w:val="36"/>
        </w:rPr>
        <w:t xml:space="preserve">Avia Cortex: calibration conclusion and launch readiness</w:t>
      </w:r>
    </w:p>
    <w:p>
      <w:pPr>
        <w:pBdr>
          <w:bottom w:val="single" w:color="2A9D8F" w:sz="6" w:space="6"/>
        </w:pBdr>
        <w:spacing w:after="160"/>
      </w:pPr>
      <w:r>
        <w:rPr>
          <w:color w:val="5A6B77"/>
          <w:sz w:val="19"/>
          <w:szCs w:val="19"/>
        </w:rPr>
        <w:t xml:space="preserve">Route-forecasting engine. Prepared 2 July 2026, for review.</w:t>
      </w:r>
    </w:p>
    <w:p>
      <w:pPr>
        <w:spacing w:after="200"/>
      </w:pPr>
      <w:r>
        <w:rPr>
          <w:i/>
          <w:iCs/>
          <w:color w:val="5A6B77"/>
        </w:rPr>
        <w:t xml:space="preserve">This note records where the Cortex route-forecasting engine stands after calibration against real launched routes, and which parts of it are ready to put in front of an airline. It is written for review, so it states the method, the evidence and the limitations plainly rather than selectively.</w:t>
      </w:r>
    </w:p>
    <w:p>
      <w:pPr>
        <w:pStyle w:val="Heading1"/>
      </w:pPr>
      <w:r>
        <w:t xml:space="preserve">What Cortex forecasts</w:t>
      </w:r>
    </w:p>
    <w:p>
      <w:pPr>
        <w:spacing w:after="160"/>
      </w:pPr>
      <w:r>
        <w:t xml:space="preserve">Cortex builds a forecast the way our analysts always have, with the hand-set rules of thumb replaced by measured data. It takes the real origin-to-destination market from Sabre bookings, works out the share the route wins through catchment access, schedule quality and airport size, applies a stimulation uplift for the new service, and caps the result at the aircraft. On top of the local market it adds the connecting feed behind the origin and beyond the destination, weighted for the specific airline and its alliance, because a route into a hub carries very different connecting traffic depending on who flies it. The output is a single passenger forecast for a named carrier.</w:t>
      </w:r>
    </w:p>
    <w:p>
      <w:pPr>
        <w:pStyle w:val="Heading1"/>
      </w:pPr>
      <w:r>
        <w:t xml:space="preserve">How it was tested</w:t>
      </w:r>
    </w:p>
    <w:p>
      <w:pPr>
        <w:spacing w:after="160"/>
      </w:pPr>
      <w:r>
        <w:t xml:space="preserve">The engine was graded by standing it in the year before each route launched, asking it to forecast, then comparing against what the route actually carried in its second full year once the launch ramp had settled. The test covered 145 launched routes across Europe and North America. Of these, 106 had a measurable pre-existing market, and those are the clean test of the demand engine; the rest created a market that did not exist before, which is a matter of stimulation judgement rather than data forecasting and is reported separately. The route set was pinned so that different versions of the engine are compared on identical routes, not on a shifting sample.</w:t>
      </w:r>
    </w:p>
    <w:p>
      <w:pPr>
        <w:pStyle w:val="Heading1"/>
      </w:pPr>
      <w:r>
        <w:t xml:space="preserve">Where it stands</w:t>
      </w:r>
    </w:p>
    <w:p>
      <w:pPr>
        <w:spacing w:after="160"/>
      </w:pPr>
      <w:r>
        <w:t xml:space="preserve">On the 106-route clean test the engine is unbiased. The median forecast is 0.99 of outturn, with over- and under-forecasts roughly balanced. The failure that matters most for a self-serve sales tool, forecasting more than twice the traffic and over-promising to an airline, runs at 2 to 3 per cent.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3400"/>
      </w:tblGrid>
      <w:tr>
        <w:trPr>
          <w:tblHeader/>
        </w:trPr>
        <w:tc>
          <w:tcPr>
            <w:tcW w:type="dxa" w:w="5626"/>
            <w:tcBorders>
              <w:top w:val="single" w:color="CCCCCC" w:sz="1"/>
              <w:left w:val="single" w:color="CCCCCC" w:sz="1"/>
              <w:bottom w:val="single" w:color="CCCCCC" w:sz="1"/>
              <w:right w:val="single" w:color="CCCCCC" w:sz="1"/>
            </w:tcBorders>
            <w:shd w:fill="16324F" w:val="clear"/>
            <w:tcMar>
              <w:top w:type="dxa" w:w="70"/>
              <w:left w:type="dxa" w:w="120"/>
              <w:bottom w:type="dxa" w:w="70"/>
              <w:right w:type="dxa" w:w="120"/>
            </w:tcMar>
          </w:tcPr>
          <w:p>
            <w:pPr>
              <w:jc w:val="left"/>
            </w:pPr>
            <w:r>
              <w:rPr>
                <w:b/>
                <w:bCs/>
                <w:color w:val="FFFFFF"/>
                <w:sz w:val="19"/>
                <w:szCs w:val="19"/>
              </w:rPr>
              <w:t xml:space="preserve">Measure</w:t>
            </w:r>
          </w:p>
        </w:tc>
        <w:tc>
          <w:tcPr>
            <w:tcW w:type="dxa" w:w="3400"/>
            <w:tcBorders>
              <w:top w:val="single" w:color="CCCCCC" w:sz="1"/>
              <w:left w:val="single" w:color="CCCCCC" w:sz="1"/>
              <w:bottom w:val="single" w:color="CCCCCC" w:sz="1"/>
              <w:right w:val="single" w:color="CCCCCC" w:sz="1"/>
            </w:tcBorders>
            <w:shd w:fill="16324F" w:val="clear"/>
            <w:tcMar>
              <w:top w:type="dxa" w:w="70"/>
              <w:left w:type="dxa" w:w="120"/>
              <w:bottom w:type="dxa" w:w="70"/>
              <w:right w:type="dxa" w:w="120"/>
            </w:tcMar>
          </w:tcPr>
          <w:p>
            <w:pPr>
              <w:jc w:val="center"/>
            </w:pPr>
            <w:r>
              <w:rPr>
                <w:b/>
                <w:bCs/>
                <w:color w:val="FFFFFF"/>
                <w:sz w:val="19"/>
                <w:szCs w:val="19"/>
              </w:rPr>
              <w:t xml:space="preserve">Result</w:t>
            </w:r>
          </w:p>
        </w:tc>
      </w:tr>
      <w:tr>
        <w:tc>
          <w:tcPr>
            <w:tcW w:type="dxa" w:w="5626"/>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bCs/>
                <w:color w:val="1E2A33"/>
                <w:sz w:val="19"/>
                <w:szCs w:val="19"/>
              </w:rPr>
              <w:t xml:space="preserve">Median forecast against outturn</w:t>
            </w:r>
          </w:p>
        </w:tc>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E2A33"/>
                <w:sz w:val="19"/>
                <w:szCs w:val="19"/>
              </w:rPr>
              <w:t xml:space="preserve">0.99</w:t>
            </w:r>
          </w:p>
        </w:tc>
      </w:tr>
      <w:tr>
        <w:tc>
          <w:tcPr>
            <w:tcW w:type="dxa" w:w="5626"/>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left"/>
            </w:pPr>
            <w:r>
              <w:rPr>
                <w:b/>
                <w:bCs/>
                <w:color w:val="1E2A33"/>
                <w:sz w:val="19"/>
                <w:szCs w:val="19"/>
              </w:rPr>
              <w:t xml:space="preserve">Within a factor of 1.5 of outturn</w:t>
            </w:r>
          </w:p>
        </w:tc>
        <w:tc>
          <w:tcPr>
            <w:tcW w:type="dxa" w:w="3400"/>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center"/>
            </w:pPr>
            <w:r>
              <w:rPr>
                <w:b w:val="false"/>
                <w:bCs w:val="false"/>
                <w:color w:val="1E2A33"/>
                <w:sz w:val="19"/>
                <w:szCs w:val="19"/>
              </w:rPr>
              <w:t xml:space="preserve">63%</w:t>
            </w:r>
          </w:p>
        </w:tc>
      </w:tr>
      <w:tr>
        <w:tc>
          <w:tcPr>
            <w:tcW w:type="dxa" w:w="5626"/>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bCs/>
                <w:color w:val="1E2A33"/>
                <w:sz w:val="19"/>
                <w:szCs w:val="19"/>
              </w:rPr>
              <w:t xml:space="preserve">Within a factor of 2 of outturn</w:t>
            </w:r>
          </w:p>
        </w:tc>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E2A33"/>
                <w:sz w:val="19"/>
                <w:szCs w:val="19"/>
              </w:rPr>
              <w:t xml:space="preserve">84%</w:t>
            </w:r>
          </w:p>
        </w:tc>
      </w:tr>
      <w:tr>
        <w:tc>
          <w:tcPr>
            <w:tcW w:type="dxa" w:w="5626"/>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left"/>
            </w:pPr>
            <w:r>
              <w:rPr>
                <w:b/>
                <w:bCs/>
                <w:color w:val="1E2A33"/>
                <w:sz w:val="19"/>
                <w:szCs w:val="19"/>
              </w:rPr>
              <w:t xml:space="preserve">More than 2x over (over-promise risk)</w:t>
            </w:r>
          </w:p>
        </w:tc>
        <w:tc>
          <w:tcPr>
            <w:tcW w:type="dxa" w:w="3400"/>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center"/>
            </w:pPr>
            <w:r>
              <w:rPr>
                <w:b w:val="false"/>
                <w:bCs w:val="false"/>
                <w:color w:val="1E2A33"/>
                <w:sz w:val="19"/>
                <w:szCs w:val="19"/>
              </w:rPr>
              <w:t xml:space="preserve">2-3%</w:t>
            </w:r>
          </w:p>
        </w:tc>
      </w:tr>
      <w:tr>
        <w:tc>
          <w:tcPr>
            <w:tcW w:type="dxa" w:w="5626"/>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bCs/>
                <w:color w:val="1E2A33"/>
                <w:sz w:val="19"/>
                <w:szCs w:val="19"/>
              </w:rPr>
              <w:t xml:space="preserve">More than 2x under (route wrongly ruled out)</w:t>
            </w:r>
          </w:p>
        </w:tc>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E2A33"/>
                <w:sz w:val="19"/>
                <w:szCs w:val="19"/>
              </w:rPr>
              <w:t xml:space="preserve">14%</w:t>
            </w:r>
          </w:p>
        </w:tc>
      </w:tr>
    </w:tbl>
    <w:p>
      <w:pPr>
        <w:spacing w:after="120"/>
      </w:pPr>
      <w:r>
        <w:t xml:space="preserve"/>
      </w:r>
    </w:p>
    <w:p>
      <w:pPr>
        <w:pStyle w:val="Heading1"/>
      </w:pPr>
      <w:r>
        <w:t xml:space="preserve">The launchable box</w:t>
      </w:r>
    </w:p>
    <w:p>
      <w:pPr>
        <w:spacing w:after="160"/>
      </w:pPr>
      <w:r>
        <w:t xml:space="preserve">Read at the level of market segment, the engine is defensible across most of the map. The segments below clear a sensible bar: a median between 0.8 and 1.35, at least 80 per cent of forecasts within a factor of two, and the over-promise rate in single figures. The one segment held back is full-service medium-haul, for the reason given in the next section.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150"/>
        <w:gridCol w:w="1250"/>
        <w:gridCol w:w="1400"/>
        <w:gridCol w:w="1600"/>
      </w:tblGrid>
      <w:tr>
        <w:trPr>
          <w:tblHeader/>
        </w:trPr>
        <w:tc>
          <w:tcPr>
            <w:tcW w:type="dxa" w:w="3626"/>
            <w:tcBorders>
              <w:top w:val="single" w:color="CCCCCC" w:sz="1"/>
              <w:left w:val="single" w:color="CCCCCC" w:sz="1"/>
              <w:bottom w:val="single" w:color="CCCCCC" w:sz="1"/>
              <w:right w:val="single" w:color="CCCCCC" w:sz="1"/>
            </w:tcBorders>
            <w:shd w:fill="16324F" w:val="clear"/>
            <w:tcMar>
              <w:top w:type="dxa" w:w="70"/>
              <w:left w:type="dxa" w:w="120"/>
              <w:bottom w:type="dxa" w:w="70"/>
              <w:right w:type="dxa" w:w="120"/>
            </w:tcMar>
          </w:tcPr>
          <w:p>
            <w:pPr>
              <w:jc w:val="left"/>
            </w:pPr>
            <w:r>
              <w:rPr>
                <w:b/>
                <w:bCs/>
                <w:color w:val="FFFFFF"/>
                <w:sz w:val="19"/>
                <w:szCs w:val="19"/>
              </w:rPr>
              <w:t xml:space="preserve">Segment</w:t>
            </w:r>
          </w:p>
        </w:tc>
        <w:tc>
          <w:tcPr>
            <w:tcW w:type="dxa" w:w="1150"/>
            <w:tcBorders>
              <w:top w:val="single" w:color="CCCCCC" w:sz="1"/>
              <w:left w:val="single" w:color="CCCCCC" w:sz="1"/>
              <w:bottom w:val="single" w:color="CCCCCC" w:sz="1"/>
              <w:right w:val="single" w:color="CCCCCC" w:sz="1"/>
            </w:tcBorders>
            <w:shd w:fill="16324F" w:val="clear"/>
            <w:tcMar>
              <w:top w:type="dxa" w:w="70"/>
              <w:left w:type="dxa" w:w="120"/>
              <w:bottom w:type="dxa" w:w="70"/>
              <w:right w:type="dxa" w:w="120"/>
            </w:tcMar>
          </w:tcPr>
          <w:p>
            <w:pPr>
              <w:jc w:val="center"/>
            </w:pPr>
            <w:r>
              <w:rPr>
                <w:b/>
                <w:bCs/>
                <w:color w:val="FFFFFF"/>
                <w:sz w:val="19"/>
                <w:szCs w:val="19"/>
              </w:rPr>
              <w:t xml:space="preserve">Routes</w:t>
            </w:r>
          </w:p>
        </w:tc>
        <w:tc>
          <w:tcPr>
            <w:tcW w:type="dxa" w:w="1250"/>
            <w:tcBorders>
              <w:top w:val="single" w:color="CCCCCC" w:sz="1"/>
              <w:left w:val="single" w:color="CCCCCC" w:sz="1"/>
              <w:bottom w:val="single" w:color="CCCCCC" w:sz="1"/>
              <w:right w:val="single" w:color="CCCCCC" w:sz="1"/>
            </w:tcBorders>
            <w:shd w:fill="16324F" w:val="clear"/>
            <w:tcMar>
              <w:top w:type="dxa" w:w="70"/>
              <w:left w:type="dxa" w:w="120"/>
              <w:bottom w:type="dxa" w:w="70"/>
              <w:right w:type="dxa" w:w="120"/>
            </w:tcMar>
          </w:tcPr>
          <w:p>
            <w:pPr>
              <w:jc w:val="center"/>
            </w:pPr>
            <w:r>
              <w:rPr>
                <w:b/>
                <w:bCs/>
                <w:color w:val="FFFFFF"/>
                <w:sz w:val="19"/>
                <w:szCs w:val="19"/>
              </w:rPr>
              <w:t xml:space="preserve">Median</w:t>
            </w:r>
          </w:p>
        </w:tc>
        <w:tc>
          <w:tcPr>
            <w:tcW w:type="dxa" w:w="1400"/>
            <w:tcBorders>
              <w:top w:val="single" w:color="CCCCCC" w:sz="1"/>
              <w:left w:val="single" w:color="CCCCCC" w:sz="1"/>
              <w:bottom w:val="single" w:color="CCCCCC" w:sz="1"/>
              <w:right w:val="single" w:color="CCCCCC" w:sz="1"/>
            </w:tcBorders>
            <w:shd w:fill="16324F" w:val="clear"/>
            <w:tcMar>
              <w:top w:type="dxa" w:w="70"/>
              <w:left w:type="dxa" w:w="120"/>
              <w:bottom w:type="dxa" w:w="70"/>
              <w:right w:type="dxa" w:w="120"/>
            </w:tcMar>
          </w:tcPr>
          <w:p>
            <w:pPr>
              <w:jc w:val="center"/>
            </w:pPr>
            <w:r>
              <w:rPr>
                <w:b/>
                <w:bCs/>
                <w:color w:val="FFFFFF"/>
                <w:sz w:val="19"/>
                <w:szCs w:val="19"/>
              </w:rPr>
              <w:t xml:space="preserve">Within 2x</w:t>
            </w:r>
          </w:p>
        </w:tc>
        <w:tc>
          <w:tcPr>
            <w:tcW w:type="dxa" w:w="1600"/>
            <w:tcBorders>
              <w:top w:val="single" w:color="CCCCCC" w:sz="1"/>
              <w:left w:val="single" w:color="CCCCCC" w:sz="1"/>
              <w:bottom w:val="single" w:color="CCCCCC" w:sz="1"/>
              <w:right w:val="single" w:color="CCCCCC" w:sz="1"/>
            </w:tcBorders>
            <w:shd w:fill="16324F" w:val="clear"/>
            <w:tcMar>
              <w:top w:type="dxa" w:w="70"/>
              <w:left w:type="dxa" w:w="120"/>
              <w:bottom w:type="dxa" w:w="70"/>
              <w:right w:type="dxa" w:w="120"/>
            </w:tcMar>
          </w:tcPr>
          <w:p>
            <w:pPr>
              <w:jc w:val="center"/>
            </w:pPr>
            <w:r>
              <w:rPr>
                <w:b/>
                <w:bCs/>
                <w:color w:val="FFFFFF"/>
                <w:sz w:val="19"/>
                <w:szCs w:val="19"/>
              </w:rPr>
              <w:t xml:space="preserve">Verdict</w:t>
            </w:r>
          </w:p>
        </w:tc>
      </w:tr>
      <w:tr>
        <w:tc>
          <w:tcPr>
            <w:tcW w:type="dxa" w:w="3626"/>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bCs/>
                <w:color w:val="1E2A33"/>
                <w:sz w:val="19"/>
                <w:szCs w:val="19"/>
              </w:rPr>
              <w:t xml:space="preserve">ULCC medium-haul (800-2500km)</w:t>
            </w:r>
          </w:p>
        </w:tc>
        <w:tc>
          <w:tcPr>
            <w:tcW w:type="dxa" w:w="11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E2A33"/>
                <w:sz w:val="19"/>
                <w:szCs w:val="19"/>
              </w:rPr>
              <w:t xml:space="preserve">40</w:t>
            </w:r>
          </w:p>
        </w:tc>
        <w:tc>
          <w:tcPr>
            <w:tcW w:type="dxa" w:w="12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E2A33"/>
                <w:sz w:val="19"/>
                <w:szCs w:val="19"/>
              </w:rPr>
              <w:t xml:space="preserve">1.10</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E2A33"/>
                <w:sz w:val="19"/>
                <w:szCs w:val="19"/>
              </w:rPr>
              <w:t xml:space="preserve">85%</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E2A33"/>
                <w:sz w:val="19"/>
                <w:szCs w:val="19"/>
              </w:rPr>
              <w:t xml:space="preserve">Launch</w:t>
            </w:r>
          </w:p>
        </w:tc>
      </w:tr>
      <w:tr>
        <w:tc>
          <w:tcPr>
            <w:tcW w:type="dxa" w:w="3626"/>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left"/>
            </w:pPr>
            <w:r>
              <w:rPr>
                <w:b/>
                <w:bCs/>
                <w:color w:val="1E2A33"/>
                <w:sz w:val="19"/>
                <w:szCs w:val="19"/>
              </w:rPr>
              <w:t xml:space="preserve">LCC medium-haul (800-2500km)</w:t>
            </w:r>
          </w:p>
        </w:tc>
        <w:tc>
          <w:tcPr>
            <w:tcW w:type="dxa" w:w="1150"/>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center"/>
            </w:pPr>
            <w:r>
              <w:rPr>
                <w:b w:val="false"/>
                <w:bCs w:val="false"/>
                <w:color w:val="1E2A33"/>
                <w:sz w:val="19"/>
                <w:szCs w:val="19"/>
              </w:rPr>
              <w:t xml:space="preserve">10</w:t>
            </w:r>
          </w:p>
        </w:tc>
        <w:tc>
          <w:tcPr>
            <w:tcW w:type="dxa" w:w="1250"/>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center"/>
            </w:pPr>
            <w:r>
              <w:rPr>
                <w:b w:val="false"/>
                <w:bCs w:val="false"/>
                <w:color w:val="1E2A33"/>
                <w:sz w:val="19"/>
                <w:szCs w:val="19"/>
              </w:rPr>
              <w:t xml:space="preserve">0.94</w:t>
            </w:r>
          </w:p>
        </w:tc>
        <w:tc>
          <w:tcPr>
            <w:tcW w:type="dxa" w:w="1400"/>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center"/>
            </w:pPr>
            <w:r>
              <w:rPr>
                <w:b w:val="false"/>
                <w:bCs w:val="false"/>
                <w:color w:val="1E2A33"/>
                <w:sz w:val="19"/>
                <w:szCs w:val="19"/>
              </w:rPr>
              <w:t xml:space="preserve">90%</w:t>
            </w:r>
          </w:p>
        </w:tc>
        <w:tc>
          <w:tcPr>
            <w:tcW w:type="dxa" w:w="1600"/>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center"/>
            </w:pPr>
            <w:r>
              <w:rPr>
                <w:b w:val="false"/>
                <w:bCs w:val="false"/>
                <w:color w:val="1E2A33"/>
                <w:sz w:val="19"/>
                <w:szCs w:val="19"/>
              </w:rPr>
              <w:t xml:space="preserve">Launch</w:t>
            </w:r>
          </w:p>
        </w:tc>
      </w:tr>
      <w:tr>
        <w:tc>
          <w:tcPr>
            <w:tcW w:type="dxa" w:w="3626"/>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bCs/>
                <w:color w:val="1E2A33"/>
                <w:sz w:val="19"/>
                <w:szCs w:val="19"/>
              </w:rPr>
              <w:t xml:space="preserve">ULCC short-haul (under 800km)</w:t>
            </w:r>
          </w:p>
        </w:tc>
        <w:tc>
          <w:tcPr>
            <w:tcW w:type="dxa" w:w="11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E2A33"/>
                <w:sz w:val="19"/>
                <w:szCs w:val="19"/>
              </w:rPr>
              <w:t xml:space="preserve">9</w:t>
            </w:r>
          </w:p>
        </w:tc>
        <w:tc>
          <w:tcPr>
            <w:tcW w:type="dxa" w:w="12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E2A33"/>
                <w:sz w:val="19"/>
                <w:szCs w:val="19"/>
              </w:rPr>
              <w:t xml:space="preserve">0.81</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E2A33"/>
                <w:sz w:val="19"/>
                <w:szCs w:val="19"/>
              </w:rPr>
              <w:t xml:space="preserve">89%</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E2A33"/>
                <w:sz w:val="19"/>
                <w:szCs w:val="19"/>
              </w:rPr>
              <w:t xml:space="preserve">Launch</w:t>
            </w:r>
          </w:p>
        </w:tc>
      </w:tr>
      <w:tr>
        <w:tc>
          <w:tcPr>
            <w:tcW w:type="dxa" w:w="3626"/>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left"/>
            </w:pPr>
            <w:r>
              <w:rPr>
                <w:b/>
                <w:bCs/>
                <w:color w:val="1E2A33"/>
                <w:sz w:val="19"/>
                <w:szCs w:val="19"/>
              </w:rPr>
              <w:t xml:space="preserve">FSC short-haul (under 800km)</w:t>
            </w:r>
          </w:p>
        </w:tc>
        <w:tc>
          <w:tcPr>
            <w:tcW w:type="dxa" w:w="1150"/>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center"/>
            </w:pPr>
            <w:r>
              <w:rPr>
                <w:b w:val="false"/>
                <w:bCs w:val="false"/>
                <w:color w:val="1E2A33"/>
                <w:sz w:val="19"/>
                <w:szCs w:val="19"/>
              </w:rPr>
              <w:t xml:space="preserve">6</w:t>
            </w:r>
          </w:p>
        </w:tc>
        <w:tc>
          <w:tcPr>
            <w:tcW w:type="dxa" w:w="1250"/>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center"/>
            </w:pPr>
            <w:r>
              <w:rPr>
                <w:b w:val="false"/>
                <w:bCs w:val="false"/>
                <w:color w:val="1E2A33"/>
                <w:sz w:val="19"/>
                <w:szCs w:val="19"/>
              </w:rPr>
              <w:t xml:space="preserve">0.98</w:t>
            </w:r>
          </w:p>
        </w:tc>
        <w:tc>
          <w:tcPr>
            <w:tcW w:type="dxa" w:w="1400"/>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center"/>
            </w:pPr>
            <w:r>
              <w:rPr>
                <w:b w:val="false"/>
                <w:bCs w:val="false"/>
                <w:color w:val="1E2A33"/>
                <w:sz w:val="19"/>
                <w:szCs w:val="19"/>
              </w:rPr>
              <w:t xml:space="preserve">100%</w:t>
            </w:r>
          </w:p>
        </w:tc>
        <w:tc>
          <w:tcPr>
            <w:tcW w:type="dxa" w:w="1600"/>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center"/>
            </w:pPr>
            <w:r>
              <w:rPr>
                <w:b w:val="false"/>
                <w:bCs w:val="false"/>
                <w:color w:val="1E2A33"/>
                <w:sz w:val="19"/>
                <w:szCs w:val="19"/>
              </w:rPr>
              <w:t xml:space="preserve">Launch</w:t>
            </w:r>
          </w:p>
        </w:tc>
      </w:tr>
      <w:tr>
        <w:tc>
          <w:tcPr>
            <w:tcW w:type="dxa" w:w="3626"/>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bCs/>
                <w:color w:val="1E2A33"/>
                <w:sz w:val="19"/>
                <w:szCs w:val="19"/>
              </w:rPr>
              <w:t xml:space="preserve">FSC long-haul (2500km+)</w:t>
            </w:r>
          </w:p>
        </w:tc>
        <w:tc>
          <w:tcPr>
            <w:tcW w:type="dxa" w:w="11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E2A33"/>
                <w:sz w:val="19"/>
                <w:szCs w:val="19"/>
              </w:rPr>
              <w:t xml:space="preserve">6</w:t>
            </w:r>
          </w:p>
        </w:tc>
        <w:tc>
          <w:tcPr>
            <w:tcW w:type="dxa" w:w="12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E2A33"/>
                <w:sz w:val="19"/>
                <w:szCs w:val="19"/>
              </w:rPr>
              <w:t xml:space="preserve">0.96</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E2A33"/>
                <w:sz w:val="19"/>
                <w:szCs w:val="19"/>
              </w:rPr>
              <w:t xml:space="preserve">100%</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E2A33"/>
                <w:sz w:val="19"/>
                <w:szCs w:val="19"/>
              </w:rPr>
              <w:t xml:space="preserve">Launch</w:t>
            </w:r>
          </w:p>
        </w:tc>
      </w:tr>
      <w:tr>
        <w:tc>
          <w:tcPr>
            <w:tcW w:type="dxa" w:w="3626"/>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left"/>
            </w:pPr>
            <w:r>
              <w:rPr>
                <w:b/>
                <w:bCs/>
                <w:color w:val="1E2A33"/>
                <w:sz w:val="19"/>
                <w:szCs w:val="19"/>
              </w:rPr>
              <w:t xml:space="preserve">European medium-haul</w:t>
            </w:r>
          </w:p>
        </w:tc>
        <w:tc>
          <w:tcPr>
            <w:tcW w:type="dxa" w:w="1150"/>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center"/>
            </w:pPr>
            <w:r>
              <w:rPr>
                <w:b w:val="false"/>
                <w:bCs w:val="false"/>
                <w:color w:val="1E2A33"/>
                <w:sz w:val="19"/>
                <w:szCs w:val="19"/>
              </w:rPr>
              <w:t xml:space="preserve">48</w:t>
            </w:r>
          </w:p>
        </w:tc>
        <w:tc>
          <w:tcPr>
            <w:tcW w:type="dxa" w:w="1250"/>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center"/>
            </w:pPr>
            <w:r>
              <w:rPr>
                <w:b w:val="false"/>
                <w:bCs w:val="false"/>
                <w:color w:val="1E2A33"/>
                <w:sz w:val="19"/>
                <w:szCs w:val="19"/>
              </w:rPr>
              <w:t xml:space="preserve">1.03</w:t>
            </w:r>
          </w:p>
        </w:tc>
        <w:tc>
          <w:tcPr>
            <w:tcW w:type="dxa" w:w="1400"/>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center"/>
            </w:pPr>
            <w:r>
              <w:rPr>
                <w:b w:val="false"/>
                <w:bCs w:val="false"/>
                <w:color w:val="1E2A33"/>
                <w:sz w:val="19"/>
                <w:szCs w:val="19"/>
              </w:rPr>
              <w:t xml:space="preserve">85%</w:t>
            </w:r>
          </w:p>
        </w:tc>
        <w:tc>
          <w:tcPr>
            <w:tcW w:type="dxa" w:w="1600"/>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center"/>
            </w:pPr>
            <w:r>
              <w:rPr>
                <w:b w:val="false"/>
                <w:bCs w:val="false"/>
                <w:color w:val="1E2A33"/>
                <w:sz w:val="19"/>
                <w:szCs w:val="19"/>
              </w:rPr>
              <w:t xml:space="preserve">Launch</w:t>
            </w:r>
          </w:p>
        </w:tc>
      </w:tr>
      <w:tr>
        <w:tc>
          <w:tcPr>
            <w:tcW w:type="dxa" w:w="3626"/>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bCs/>
                <w:color w:val="1E2A33"/>
                <w:sz w:val="19"/>
                <w:szCs w:val="19"/>
              </w:rPr>
              <w:t xml:space="preserve">Origin United States</w:t>
            </w:r>
          </w:p>
        </w:tc>
        <w:tc>
          <w:tcPr>
            <w:tcW w:type="dxa" w:w="11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E2A33"/>
                <w:sz w:val="19"/>
                <w:szCs w:val="19"/>
              </w:rPr>
              <w:t xml:space="preserve">45</w:t>
            </w:r>
          </w:p>
        </w:tc>
        <w:tc>
          <w:tcPr>
            <w:tcW w:type="dxa" w:w="12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E2A33"/>
                <w:sz w:val="19"/>
                <w:szCs w:val="19"/>
              </w:rPr>
              <w:t xml:space="preserve">0.97</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E2A33"/>
                <w:sz w:val="19"/>
                <w:szCs w:val="19"/>
              </w:rPr>
              <w:t xml:space="preserve">87%</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E2A33"/>
                <w:sz w:val="19"/>
                <w:szCs w:val="19"/>
              </w:rPr>
              <w:t xml:space="preserve">Launch</w:t>
            </w:r>
          </w:p>
        </w:tc>
      </w:tr>
      <w:tr>
        <w:tc>
          <w:tcPr>
            <w:tcW w:type="dxa" w:w="3626"/>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left"/>
            </w:pPr>
            <w:r>
              <w:rPr>
                <w:b/>
                <w:bCs/>
                <w:color w:val="1E2A33"/>
                <w:sz w:val="19"/>
                <w:szCs w:val="19"/>
              </w:rPr>
              <w:t xml:space="preserve">Origin United Kingdom</w:t>
            </w:r>
          </w:p>
        </w:tc>
        <w:tc>
          <w:tcPr>
            <w:tcW w:type="dxa" w:w="1150"/>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center"/>
            </w:pPr>
            <w:r>
              <w:rPr>
                <w:b w:val="false"/>
                <w:bCs w:val="false"/>
                <w:color w:val="1E2A33"/>
                <w:sz w:val="19"/>
                <w:szCs w:val="19"/>
              </w:rPr>
              <w:t xml:space="preserve">11</w:t>
            </w:r>
          </w:p>
        </w:tc>
        <w:tc>
          <w:tcPr>
            <w:tcW w:type="dxa" w:w="1250"/>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center"/>
            </w:pPr>
            <w:r>
              <w:rPr>
                <w:b w:val="false"/>
                <w:bCs w:val="false"/>
                <w:color w:val="1E2A33"/>
                <w:sz w:val="19"/>
                <w:szCs w:val="19"/>
              </w:rPr>
              <w:t xml:space="preserve">1.14</w:t>
            </w:r>
          </w:p>
        </w:tc>
        <w:tc>
          <w:tcPr>
            <w:tcW w:type="dxa" w:w="1400"/>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center"/>
            </w:pPr>
            <w:r>
              <w:rPr>
                <w:b w:val="false"/>
                <w:bCs w:val="false"/>
                <w:color w:val="1E2A33"/>
                <w:sz w:val="19"/>
                <w:szCs w:val="19"/>
              </w:rPr>
              <w:t xml:space="preserve">91%</w:t>
            </w:r>
          </w:p>
        </w:tc>
        <w:tc>
          <w:tcPr>
            <w:tcW w:type="dxa" w:w="1600"/>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center"/>
            </w:pPr>
            <w:r>
              <w:rPr>
                <w:b w:val="false"/>
                <w:bCs w:val="false"/>
                <w:color w:val="1E2A33"/>
                <w:sz w:val="19"/>
                <w:szCs w:val="19"/>
              </w:rPr>
              <w:t xml:space="preserve">Launch</w:t>
            </w:r>
          </w:p>
        </w:tc>
      </w:tr>
      <w:tr>
        <w:tc>
          <w:tcPr>
            <w:tcW w:type="dxa" w:w="3626"/>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bCs/>
                <w:color w:val="1E2A33"/>
                <w:sz w:val="19"/>
                <w:szCs w:val="19"/>
              </w:rPr>
              <w:t xml:space="preserve">Origin Spain / Italy</w:t>
            </w:r>
          </w:p>
        </w:tc>
        <w:tc>
          <w:tcPr>
            <w:tcW w:type="dxa" w:w="11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E2A33"/>
                <w:sz w:val="19"/>
                <w:szCs w:val="19"/>
              </w:rPr>
              <w:t xml:space="preserve">7</w:t>
            </w:r>
          </w:p>
        </w:tc>
        <w:tc>
          <w:tcPr>
            <w:tcW w:type="dxa" w:w="125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E2A33"/>
                <w:sz w:val="19"/>
                <w:szCs w:val="19"/>
              </w:rPr>
              <w:t xml:space="preserve">~1.1</w:t>
            </w:r>
          </w:p>
        </w:tc>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E2A33"/>
                <w:sz w:val="19"/>
                <w:szCs w:val="19"/>
              </w:rPr>
              <w:t xml:space="preserve">86-100%</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b w:val="false"/>
                <w:bCs w:val="false"/>
                <w:color w:val="1E2A33"/>
                <w:sz w:val="19"/>
                <w:szCs w:val="19"/>
              </w:rPr>
              <w:t xml:space="preserve">Launch</w:t>
            </w:r>
          </w:p>
        </w:tc>
      </w:tr>
      <w:tr>
        <w:tc>
          <w:tcPr>
            <w:tcW w:type="dxa" w:w="3626"/>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left"/>
            </w:pPr>
            <w:r>
              <w:rPr>
                <w:b/>
                <w:bCs/>
                <w:color w:val="1E2A33"/>
                <w:sz w:val="19"/>
                <w:szCs w:val="19"/>
              </w:rPr>
              <w:t xml:space="preserve">FSC medium-haul (800-2500km)</w:t>
            </w:r>
          </w:p>
        </w:tc>
        <w:tc>
          <w:tcPr>
            <w:tcW w:type="dxa" w:w="1150"/>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center"/>
            </w:pPr>
            <w:r>
              <w:rPr>
                <w:b w:val="false"/>
                <w:bCs w:val="false"/>
                <w:color w:val="1E2A33"/>
                <w:sz w:val="19"/>
                <w:szCs w:val="19"/>
              </w:rPr>
              <w:t xml:space="preserve">28</w:t>
            </w:r>
          </w:p>
        </w:tc>
        <w:tc>
          <w:tcPr>
            <w:tcW w:type="dxa" w:w="1250"/>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center"/>
            </w:pPr>
            <w:r>
              <w:rPr>
                <w:b w:val="false"/>
                <w:bCs w:val="false"/>
                <w:color w:val="1E2A33"/>
                <w:sz w:val="19"/>
                <w:szCs w:val="19"/>
              </w:rPr>
              <w:t xml:space="preserve">0.88</w:t>
            </w:r>
          </w:p>
        </w:tc>
        <w:tc>
          <w:tcPr>
            <w:tcW w:type="dxa" w:w="1400"/>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center"/>
            </w:pPr>
            <w:r>
              <w:rPr>
                <w:b w:val="false"/>
                <w:bCs w:val="false"/>
                <w:color w:val="1E2A33"/>
                <w:sz w:val="19"/>
                <w:szCs w:val="19"/>
              </w:rPr>
              <w:t xml:space="preserve">75%</w:t>
            </w:r>
          </w:p>
        </w:tc>
        <w:tc>
          <w:tcPr>
            <w:tcW w:type="dxa" w:w="1600"/>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center"/>
            </w:pPr>
            <w:r>
              <w:rPr>
                <w:b w:val="false"/>
                <w:bCs w:val="false"/>
                <w:color w:val="1E2A33"/>
                <w:sz w:val="19"/>
                <w:szCs w:val="19"/>
              </w:rPr>
              <w:t xml:space="preserve">Directional</w:t>
            </w:r>
          </w:p>
        </w:tc>
      </w:tr>
    </w:tbl>
    <w:p>
      <w:pPr>
        <w:spacing w:after="120"/>
      </w:pPr>
      <w:r>
        <w:t xml:space="preserve"/>
      </w:r>
    </w:p>
    <w:p>
      <w:pPr>
        <w:spacing w:after="160"/>
      </w:pPr>
      <w:r>
        <w:t xml:space="preserve">For the route pitches that matter most commercially, full-service long-haul is inside the box and reads cleanly, so the marquee case is covered.</w:t>
      </w:r>
    </w:p>
    <w:p>
      <w:pPr>
        <w:pStyle w:val="Heading1"/>
      </w:pPr>
      <w:r>
        <w:t xml:space="preserve">What each calibration step contributed</w:t>
      </w:r>
    </w:p>
    <w:p>
      <w:pPr>
        <w:spacing w:after="160"/>
      </w:pPr>
      <w:r>
        <w:t xml:space="preserve">The position above was reached by testing one lever at a time and keeping only what the evidence supported. Two of the five moves were corrections that worked, one was proven to do nothing, and one confirmed an existing part of the engine was already 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626"/>
        <w:gridCol w:w="2500"/>
      </w:tblGrid>
      <w:tr>
        <w:trPr>
          <w:tblHeader/>
        </w:trPr>
        <w:tc>
          <w:tcPr>
            <w:tcW w:type="dxa" w:w="2900"/>
            <w:tcBorders>
              <w:top w:val="single" w:color="CCCCCC" w:sz="1"/>
              <w:left w:val="single" w:color="CCCCCC" w:sz="1"/>
              <w:bottom w:val="single" w:color="CCCCCC" w:sz="1"/>
              <w:right w:val="single" w:color="CCCCCC" w:sz="1"/>
            </w:tcBorders>
            <w:shd w:fill="16324F" w:val="clear"/>
            <w:tcMar>
              <w:top w:type="dxa" w:w="70"/>
              <w:left w:type="dxa" w:w="120"/>
              <w:bottom w:type="dxa" w:w="70"/>
              <w:right w:type="dxa" w:w="120"/>
            </w:tcMar>
          </w:tcPr>
          <w:p>
            <w:pPr>
              <w:jc w:val="left"/>
            </w:pPr>
            <w:r>
              <w:rPr>
                <w:b/>
                <w:bCs/>
                <w:color w:val="FFFFFF"/>
                <w:sz w:val="19"/>
                <w:szCs w:val="19"/>
              </w:rPr>
              <w:t xml:space="preserve">Calibration step</w:t>
            </w:r>
          </w:p>
        </w:tc>
        <w:tc>
          <w:tcPr>
            <w:tcW w:type="dxa" w:w="3626"/>
            <w:tcBorders>
              <w:top w:val="single" w:color="CCCCCC" w:sz="1"/>
              <w:left w:val="single" w:color="CCCCCC" w:sz="1"/>
              <w:bottom w:val="single" w:color="CCCCCC" w:sz="1"/>
              <w:right w:val="single" w:color="CCCCCC" w:sz="1"/>
            </w:tcBorders>
            <w:shd w:fill="16324F" w:val="clear"/>
            <w:tcMar>
              <w:top w:type="dxa" w:w="70"/>
              <w:left w:type="dxa" w:w="120"/>
              <w:bottom w:type="dxa" w:w="70"/>
              <w:right w:type="dxa" w:w="120"/>
            </w:tcMar>
          </w:tcPr>
          <w:p>
            <w:pPr>
              <w:jc w:val="left"/>
            </w:pPr>
            <w:r>
              <w:rPr>
                <w:b/>
                <w:bCs/>
                <w:color w:val="FFFFFF"/>
                <w:sz w:val="19"/>
                <w:szCs w:val="19"/>
              </w:rPr>
              <w:t xml:space="preserve">What it addressed</w:t>
            </w:r>
          </w:p>
        </w:tc>
        <w:tc>
          <w:tcPr>
            <w:tcW w:type="dxa" w:w="2500"/>
            <w:tcBorders>
              <w:top w:val="single" w:color="CCCCCC" w:sz="1"/>
              <w:left w:val="single" w:color="CCCCCC" w:sz="1"/>
              <w:bottom w:val="single" w:color="CCCCCC" w:sz="1"/>
              <w:right w:val="single" w:color="CCCCCC" w:sz="1"/>
            </w:tcBorders>
            <w:shd w:fill="16324F" w:val="clear"/>
            <w:tcMar>
              <w:top w:type="dxa" w:w="70"/>
              <w:left w:type="dxa" w:w="120"/>
              <w:bottom w:type="dxa" w:w="70"/>
              <w:right w:type="dxa" w:w="120"/>
            </w:tcMar>
          </w:tcPr>
          <w:p>
            <w:pPr>
              <w:jc w:val="left"/>
            </w:pPr>
            <w:r>
              <w:rPr>
                <w:b/>
                <w:bCs/>
                <w:color w:val="FFFFFF"/>
                <w:sz w:val="19"/>
                <w:szCs w:val="19"/>
              </w:rPr>
              <w:t xml:space="preserve">Outcome</w:t>
            </w:r>
          </w:p>
        </w:tc>
      </w:tr>
      <w:tr>
        <w:tc>
          <w:tcPr>
            <w:tcW w:type="dxa" w:w="2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bCs/>
                <w:color w:val="1E2A33"/>
                <w:sz w:val="19"/>
                <w:szCs w:val="19"/>
              </w:rPr>
              <w:t xml:space="preserve">Size-pull exponent</w:t>
            </w:r>
          </w:p>
        </w:tc>
        <w:tc>
          <w:tcPr>
            <w:tcW w:type="dxa" w:w="3626"/>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E2A33"/>
                <w:sz w:val="19"/>
                <w:szCs w:val="19"/>
              </w:rPr>
              <w:t xml:space="preserve">Big hubs over-credited on local capture</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E2A33"/>
                <w:sz w:val="19"/>
                <w:szCs w:val="19"/>
              </w:rPr>
              <w:t xml:space="preserve">Cut 0.75 to 0.55; hub over-read compressed</w:t>
            </w:r>
          </w:p>
        </w:tc>
      </w:tr>
      <w:tr>
        <w:tc>
          <w:tcPr>
            <w:tcW w:type="dxa" w:w="2900"/>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left"/>
            </w:pPr>
            <w:r>
              <w:rPr>
                <w:b/>
                <w:bCs/>
                <w:color w:val="1E2A33"/>
                <w:sz w:val="19"/>
                <w:szCs w:val="19"/>
              </w:rPr>
              <w:t xml:space="preserve">Country coverage</w:t>
            </w:r>
          </w:p>
        </w:tc>
        <w:tc>
          <w:tcPr>
            <w:tcW w:type="dxa" w:w="3626"/>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left"/>
            </w:pPr>
            <w:r>
              <w:rPr>
                <w:b w:val="false"/>
                <w:bCs w:val="false"/>
                <w:color w:val="1E2A33"/>
                <w:sz w:val="19"/>
                <w:szCs w:val="19"/>
              </w:rPr>
              <w:t xml:space="preserve">Off-GDS booking gaps (Wizz/Ryanair markets under-read, legacy over-read)</w:t>
            </w:r>
          </w:p>
        </w:tc>
        <w:tc>
          <w:tcPr>
            <w:tcW w:type="dxa" w:w="2500"/>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left"/>
            </w:pPr>
            <w:r>
              <w:rPr>
                <w:b w:val="false"/>
                <w:bCs w:val="false"/>
                <w:color w:val="1E2A33"/>
                <w:sz w:val="19"/>
                <w:szCs w:val="19"/>
              </w:rPr>
              <w:t xml:space="preserve">Gross-up by country; too-low tail 15% to 10%</w:t>
            </w:r>
          </w:p>
        </w:tc>
      </w:tr>
      <w:tr>
        <w:tc>
          <w:tcPr>
            <w:tcW w:type="dxa" w:w="2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bCs/>
                <w:color w:val="1E2A33"/>
                <w:sz w:val="19"/>
                <w:szCs w:val="19"/>
              </w:rPr>
              <w:t xml:space="preserve">Catchment widening</w:t>
            </w:r>
          </w:p>
        </w:tc>
        <w:tc>
          <w:tcPr>
            <w:tcW w:type="dxa" w:w="3626"/>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E2A33"/>
                <w:sz w:val="19"/>
                <w:szCs w:val="19"/>
              </w:rPr>
              <w:t xml:space="preserve">Whether price pax draw a wider catchment</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E2A33"/>
                <w:sz w:val="19"/>
                <w:szCs w:val="19"/>
              </w:rPr>
              <w:t xml:space="preserve">Tested, no effect; the LCC signal is stimulation, not radius</w:t>
            </w:r>
          </w:p>
        </w:tc>
      </w:tr>
      <w:tr>
        <w:tc>
          <w:tcPr>
            <w:tcW w:type="dxa" w:w="2900"/>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left"/>
            </w:pPr>
            <w:r>
              <w:rPr>
                <w:b/>
                <w:bCs/>
                <w:color w:val="1E2A33"/>
                <w:sz w:val="19"/>
                <w:szCs w:val="19"/>
              </w:rPr>
              <w:t xml:space="preserve">Connecting feed</w:t>
            </w:r>
          </w:p>
        </w:tc>
        <w:tc>
          <w:tcPr>
            <w:tcW w:type="dxa" w:w="3626"/>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left"/>
            </w:pPr>
            <w:r>
              <w:rPr>
                <w:b w:val="false"/>
                <w:bCs w:val="false"/>
                <w:color w:val="1E2A33"/>
                <w:sz w:val="19"/>
                <w:szCs w:val="19"/>
              </w:rPr>
              <w:t xml:space="preserve">Feed light on hub routes, phantom feed on point-to-point carriers</w:t>
            </w:r>
          </w:p>
        </w:tc>
        <w:tc>
          <w:tcPr>
            <w:tcW w:type="dxa" w:w="2500"/>
            <w:tcBorders>
              <w:top w:val="single" w:color="CCCCCC" w:sz="1"/>
              <w:left w:val="single" w:color="CCCCCC" w:sz="1"/>
              <w:bottom w:val="single" w:color="CCCCCC" w:sz="1"/>
              <w:right w:val="single" w:color="CCCCCC" w:sz="1"/>
            </w:tcBorders>
            <w:shd w:fill="F2F5F7" w:val="clear"/>
            <w:tcMar>
              <w:top w:type="dxa" w:w="70"/>
              <w:left w:type="dxa" w:w="120"/>
              <w:bottom w:type="dxa" w:w="70"/>
              <w:right w:type="dxa" w:w="120"/>
            </w:tcMar>
          </w:tcPr>
          <w:p>
            <w:pPr>
              <w:jc w:val="left"/>
            </w:pPr>
            <w:r>
              <w:rPr>
                <w:b w:val="false"/>
                <w:bCs w:val="false"/>
                <w:color w:val="1E2A33"/>
                <w:sz w:val="19"/>
                <w:szCs w:val="19"/>
              </w:rPr>
              <w:t xml:space="preserve">Fortress feed scaled by carrier dominance; LCC/ULCC feed zeroed</w:t>
            </w:r>
          </w:p>
        </w:tc>
      </w:tr>
      <w:tr>
        <w:tc>
          <w:tcPr>
            <w:tcW w:type="dxa" w:w="29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bCs/>
                <w:color w:val="1E2A33"/>
                <w:sz w:val="19"/>
                <w:szCs w:val="19"/>
              </w:rPr>
              <w:t xml:space="preserve">Capacity cap</w:t>
            </w:r>
          </w:p>
        </w:tc>
        <w:tc>
          <w:tcPr>
            <w:tcW w:type="dxa" w:w="3626"/>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E2A33"/>
                <w:sz w:val="19"/>
                <w:szCs w:val="19"/>
              </w:rPr>
              <w:t xml:space="preserve">Whether the aircraft ceiling under-cut forecasts</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b w:val="false"/>
                <w:bCs w:val="false"/>
                <w:color w:val="1E2A33"/>
                <w:sz w:val="19"/>
                <w:szCs w:val="19"/>
              </w:rPr>
              <w:t xml:space="preserve">Found well-calibrated (capped routes read 1.02 at 83% load)</w:t>
            </w:r>
          </w:p>
        </w:tc>
      </w:tr>
    </w:tbl>
    <w:p>
      <w:pPr>
        <w:spacing w:after="120"/>
      </w:pPr>
      <w:r>
        <w:t xml:space="preserve"/>
      </w:r>
    </w:p>
    <w:p>
      <w:pPr>
        <w:pStyle w:val="Heading1"/>
      </w:pPr>
      <w:r>
        <w:t xml:space="preserve">The residual, and why it is not a missing lever</w:t>
      </w:r>
    </w:p>
    <w:p>
      <w:pPr>
        <w:spacing w:after="160"/>
      </w:pPr>
      <w:r>
        <w:t xml:space="preserve">What remains under-forecast is a small tail, roughly seven routes, about seven per cent of the clean set. These are not a missing model term. They flew at a 69 per cent load factor, so the aircraft did not constrain the forecast, and doubling the connecting feed did not move them. They are seasonal-leisure and thinly-booked markets, Milan to Rhodes on a summer charter being typical, that a Sabre-based annual model cannot see. This is the irreducible floor, the kind of gap that marketing, a loyalty programme or a charter contract explains rather than the engine. Full-service medium-haul reads as directional only because it happens to carry most of these hard routes, not because a term is missing.</w:t>
      </w:r>
    </w:p>
    <w:p>
      <w:pPr>
        <w:pStyle w:val="Heading1"/>
      </w:pPr>
      <w:r>
        <w:t xml:space="preserve">Known limitations, stated plainly</w:t>
      </w:r>
    </w:p>
    <w:p>
      <w:pPr>
        <w:spacing w:after="160"/>
      </w:pPr>
      <w:r>
        <w:t xml:space="preserve">The tool can under-call seasonal-leisure and thinly-booked routes. Low-cost and ultra-low-cost carriers vary so much by country, Ryanair in Poland is not Ryanair in France, that they are forecast directionally rather than precisely until enough of them have launched to calibrate each carrier-and-country case. The country coverage factors are drawn from this same test set, so they should be confirmed against routes held out of the calibration before they are treated as settled.</w:t>
      </w:r>
    </w:p>
    <w:p>
      <w:pPr>
        <w:pStyle w:val="Heading1"/>
      </w:pPr>
      <w:r>
        <w:t xml:space="preserve">The part that improves with time</w:t>
      </w:r>
    </w:p>
    <w:p>
      <w:pPr>
        <w:spacing w:after="160"/>
      </w:pPr>
      <w:r>
        <w:t xml:space="preserve">The engine's accuracy from here does not come from further tuning of capture, feed or capacity, which are done. It comes from a table of carrier-by-country adjustments that the back-test fills automatically as more routes launch, each cell earning a published correction only once it has enough routes behind it and holds across years. That table is the part of the product that compounds with data and is difficult for a competitor to copy.</w:t>
      </w:r>
    </w:p>
    <w:p>
      <w:pPr>
        <w:pStyle w:val="Heading1"/>
      </w:pPr>
      <w:r>
        <w:t xml:space="preserve">Recommendation</w:t>
      </w:r>
    </w:p>
    <w:p>
      <w:pPr>
        <w:spacing w:after="160"/>
      </w:pPr>
      <w:r>
        <w:t xml:space="preserve">Cortex is ready to launch for the segments in the box: low-cost and ultra-low-cost medium-haul, full-service short and long haul, European medium-haul, and the United States, United Kingdom, Spain and Italy as origins. Full-service medium-haul should be offered as directional for now. Every forecast should show its workings, the measured market, the share, the feed and the uplift, so the airport using it can defend the number and see where judgement enters. The limitations above should be put to clients openly rather than hidden; a tool that knows what it cannot yet see is more trustworthy than one that claims precision everywhere.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24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A9D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Avia Cortex: calibration conclusion and launch readiness</dc:title>
  <dc:creator>Avia Solutions</dc:creator>
  <dc:description>Standing record of engine calibration against launched routes.</dc:description>
  <cp:lastModifiedBy>Avia Solutions</cp:lastModifiedBy>
  <cp:revision>1</cp:revision>
  <dcterms:created xsi:type="dcterms:W3CDTF">2026-07-02T13:12:05.632Z</dcterms:created>
  <dcterms:modified xsi:type="dcterms:W3CDTF">2026-07-02T13:12:05.632Z</dcterms:modified>
</cp:coreProperties>
</file>

<file path=docProps/custom.xml><?xml version="1.0" encoding="utf-8"?>
<Properties xmlns="http://schemas.openxmlformats.org/officeDocument/2006/custom-properties" xmlns:vt="http://schemas.openxmlformats.org/officeDocument/2006/docPropsVTypes"/>
</file>