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OAG download scope for the integrated forecasting tool</w:t>
      </w:r>
    </w:p>
    <w:p>
      <w:pPr>
        <w:spacing w:after="200"/>
      </w:pPr>
      <w:r>
        <w:rPr>
          <w:color w:val="595959"/>
          <w:sz w:val="20"/>
          <w:szCs w:val="20"/>
        </w:rPr>
        <w:t xml:space="preserve">What to request from OAG, fields, years and airports, for QSI and the modules that follow. Avia Solutions, 25 June 2026.</w:t>
      </w:r>
    </w:p>
    <w:p>
      <w:pPr>
        <w:spacing w:after="140"/>
      </w:pPr>
      <w:r>
        <w:t xml:space="preserve">The tool needs OAG schedules to build the competing routings and score capture. Two principles set the scope. First, download once for the whole tool, not just QSI: the integrated build folds in fare analysis and airline economics (Ralph) and the socio-economic work (Jol), plus competition analysis, each of which historically pulled its own OAG data. A field QSI ignores may be exactly what airline economics needs, so we capture the full schedules record now. Re-pulling a global dataset later to add two columns is the expensive mistake. Second, scope the volume by airports and by base year, not by downloading twelve years of the globe.</w:t>
      </w:r>
    </w:p>
    <w:p>
      <w:pPr>
        <w:pStyle w:val="Heading1"/>
      </w:pPr>
      <w:r>
        <w:t xml:space="preserve">What I found on Egnyte</w:t>
      </w:r>
    </w:p>
    <w:p>
      <w:pPr>
        <w:spacing w:after="140"/>
      </w:pPr>
      <w:r>
        <w:t xml:space="preserve">The test routes are not in a single list, so I inventoried them from the project folders. The San Jose study (</w:t>
      </w:r>
      <w:r>
        <w:rPr>
          <w:b/>
          <w:bCs/>
        </w:rPr>
        <w:t xml:space="preserve">07 Current Projects / San Jose - Route Development / Target Airlines</w:t>
      </w:r>
      <w:r>
        <w:t xml:space="preserve">) holds 35 target airlines, each a route from SJC to that airline's hub, with hubs across Europe, the Middle East, all of East and South-East Asia, South Asia and Latin America. The Taipei study (</w:t>
      </w:r>
      <w:r>
        <w:rPr>
          <w:b/>
          <w:bCs/>
        </w:rPr>
        <w:t xml:space="preserve">Archive / 2024</w:t>
      </w:r>
      <w:r>
        <w:t xml:space="preserve">) adds about 18 airlines from a TPE origin, Tampa (</w:t>
      </w:r>
      <w:r>
        <w:rPr>
          <w:b/>
          <w:bCs/>
        </w:rPr>
        <w:t xml:space="preserve">Archive / 2022</w:t>
      </w:r>
      <w:r>
        <w:t xml:space="preserve">) is a further origin study, and the Chicago O'Hare work is the </w:t>
      </w:r>
      <w:r>
        <w:rPr>
          <w:b/>
          <w:bCs/>
        </w:rPr>
        <w:t xml:space="preserve">Ricondo - Chicago Task 11 2012</w:t>
      </w:r>
      <w:r>
        <w:t xml:space="preserve"> study (</w:t>
      </w:r>
      <w:r>
        <w:rPr>
          <w:b/>
          <w:bCs/>
        </w:rPr>
        <w:t xml:space="preserve">Archive / 2020</w:t>
      </w:r>
      <w:r>
        <w:t xml:space="preserve">), about 65 target airlines, each an individual O'Hare route forecast carrying the QSI connecting-passenger table. With Chicago counted, the test set is well over 100 route forecasts and global in hub terms, reaching Africa, Latin America and Russia. A single-continent download would drop most of it.</w:t>
      </w:r>
    </w:p>
    <w:p>
      <w:pPr>
        <w:pStyle w:val="Heading1"/>
      </w:pPr>
      <w:r>
        <w:t xml:space="preserve">What the parser test showed</w:t>
      </w:r>
    </w:p>
    <w:p>
      <w:pPr>
        <w:spacing w:after="140"/>
      </w:pPr>
      <w:r>
        <w:t xml:space="preserve">Avia already holds OAG exports, for example the Tampa weekly files (</w:t>
      </w:r>
      <w:r>
        <w:rPr>
          <w:b/>
          <w:bCs/>
        </w:rPr>
        <w:t xml:space="preserve">TPA OAG Wk27May2019</w:t>
      </w:r>
      <w:r>
        <w:t xml:space="preserve">, </w:t>
      </w:r>
      <w:r>
        <w:rPr>
          <w:b/>
          <w:bCs/>
        </w:rPr>
        <w:t xml:space="preserve">Wk11Oct2021</w:t>
      </w:r>
      <w:r>
        <w:t xml:space="preserve">). I ran the tool's parser against that layout. Two results. The parser rejects the file outright: it scans for a column named Carrier1, and the export calls it Carrier Code, so no header is recognised. Then, after renaming every column that does map, 16 fields still come back empty, because they are simply not in that export. Those in-house files are a </w:t>
      </w:r>
      <w:r>
        <w:rPr>
          <w:b/>
          <w:bCs/>
        </w:rPr>
        <w:t xml:space="preserve">capacity extract</w:t>
      </w:r>
      <w:r>
        <w:t xml:space="preserve"> (carrier, airports, total seats, frequency); the tool needs the </w:t>
      </w:r>
      <w:r>
        <w:rPr>
          <w:b/>
          <w:bCs/>
        </w:rPr>
        <w:t xml:space="preserve">schedules (timetable) export</w:t>
      </w:r>
      <w:r>
        <w:t xml:space="preserve"> with times and cabin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r>
              <w:rPr>
                <w:b/>
                <w:bCs/>
                <w:sz w:val="19"/>
                <w:szCs w:val="19"/>
              </w:rPr>
              <w:t xml:space="preserve">Survived into the tool</w:t>
            </w:r>
          </w:p>
        </w:tc>
        <w:tc>
          <w:tcPr>
            <w:tcW w:type="dxa" w:w="4513"/>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r>
              <w:rPr>
                <w:b/>
                <w:bCs/>
                <w:sz w:val="19"/>
                <w:szCs w:val="19"/>
              </w:rPr>
              <w:t xml:space="preserve">Lost (not in the capacity export)</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Operating carrier, flight number, departure and arrival airport, total seats</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Local departure and arrival times, arrival day offset, days of operation, weekly frequency, cabin seat split (First/Business/Economy), terminals, elapsed and block time, effective dates, marketing/codeshare carrier, service type</w:t>
            </w:r>
          </w:p>
        </w:tc>
      </w:tr>
    </w:tbl>
    <w:p>
      <w:pPr>
        <w:spacing w:after="60"/>
      </w:pPr>
      <w:r>
        <w:rPr>
          <w:i/>
          <w:iCs/>
          <w:color w:val="595959"/>
          <w:sz w:val="19"/>
          <w:szCs w:val="19"/>
        </w:rPr>
        <w:t xml:space="preserve">The lost fields include every connection-critical one, so the capacity extract cannot drive the tool even with rework.</w:t>
      </w:r>
    </w:p>
    <w:p>
      <w:pPr>
        <w:pStyle w:val="Heading1"/>
      </w:pPr>
      <w:r>
        <w:t xml:space="preserve">Fields to request</w:t>
      </w:r>
    </w:p>
    <w:p>
      <w:pPr>
        <w:spacing w:after="140"/>
      </w:pPr>
      <w:r>
        <w:t xml:space="preserve">Ask OAG for the full Schedules export at flight level, one row per operating flight, with all available fields rather than a trimmed set. The groups below are what "all" should cover; the right-hand column shows why each earns its place across the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5126"/>
        <w:gridCol w:w="1800"/>
      </w:tblGrid>
      <w:tr>
        <w:tc>
          <w:tcPr>
            <w:tcW w:type="dxa" w:w="21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r>
              <w:rPr>
                <w:b/>
                <w:bCs/>
                <w:sz w:val="19"/>
                <w:szCs w:val="19"/>
              </w:rPr>
              <w:t xml:space="preserve">Field group</w:t>
            </w:r>
          </w:p>
        </w:tc>
        <w:tc>
          <w:tcPr>
            <w:tcW w:type="dxa" w:w="51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r>
              <w:rPr>
                <w:b/>
                <w:bCs/>
                <w:sz w:val="19"/>
                <w:szCs w:val="19"/>
              </w:rPr>
              <w:t xml:space="preserve">Fields to capture</w:t>
            </w:r>
          </w:p>
        </w:tc>
        <w:tc>
          <w:tcPr>
            <w:tcW w:type="dxa" w:w="18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r>
              <w:rPr>
                <w:b/>
                <w:bCs/>
                <w:sz w:val="19"/>
                <w:szCs w:val="19"/>
              </w:rPr>
              <w:t xml:space="preserve">Used by</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Identification and marketing</w:t>
            </w:r>
          </w:p>
        </w:tc>
        <w:tc>
          <w:tcPr>
            <w:tcW w:type="dxa" w:w="51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Operating carrier (code + name), flight number; marketing / codeshare carrier(s) (code + name + number); alliance; duplicate / codeshare indicator</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QSI, Competition</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Geography</w:t>
            </w:r>
          </w:p>
        </w:tc>
        <w:tc>
          <w:tcPr>
            <w:tcW w:type="dxa" w:w="51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Departure and arrival airport, city, country, region/area, terminal, US state; international/domestic flag; multi-stop routing string</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QSI, Socio-econ</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Timing and frequency</w:t>
            </w:r>
          </w:p>
        </w:tc>
        <w:tc>
          <w:tcPr>
            <w:tcW w:type="dxa" w:w="51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Local departure and arrival time; arrival day offset; days of operation; weekly frequency; effective from/to dates; elapsed (journey) time; block/flying time; UTC offsets</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QSI</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Distance</w:t>
            </w:r>
          </w:p>
        </w:tc>
        <w:tc>
          <w:tcPr>
            <w:tcW w:type="dxa" w:w="51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Great-circle distance; flown/route distance; number of stops</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QSI, Airline econ</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Equipment</w:t>
            </w:r>
          </w:p>
        </w:tc>
        <w:tc>
          <w:tcPr>
            <w:tcW w:type="dxa" w:w="51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Aircraft type (IATA + ICAO), specific sub-type, seat configuration; number of aircraft / departures</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Airline econ</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Capacity</w:t>
            </w:r>
          </w:p>
        </w:tc>
        <w:tc>
          <w:tcPr>
            <w:tcW w:type="dxa" w:w="51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Seats total; seats by cabin (First, Business, Premium Economy, Economy); freight/cargo capacity; ASKs/ASMs if OAG derives them</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Airline econ, Fares, QSI</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Operational flags</w:t>
            </w:r>
          </w:p>
        </w:tc>
        <w:tc>
          <w:tcPr>
            <w:tcW w:type="dxa" w:w="51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Service type (passenger/cargo/charter); restrictions; operating indicator</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QSI, Competition</w:t>
            </w:r>
          </w:p>
        </w:tc>
      </w:tr>
    </w:tbl>
    <w:p>
      <w:pPr>
        <w:spacing w:after="80"/>
      </w:pPr>
      <w:r>
        <w:rPr>
          <w:color w:val="595959"/>
          <w:sz w:val="19"/>
          <w:szCs w:val="19"/>
        </w:rPr>
        <w:t xml:space="preserve">Delivered as Excel or CSV in a fixed column layout. Send one airport-week first so I can confirm the parser reads it before any large pull.</w:t>
      </w:r>
    </w:p>
    <w:p>
      <w:pPr>
        <w:pStyle w:val="Heading1"/>
      </w:pPr>
      <w:r>
        <w:t xml:space="preserve">Years and seasons</w:t>
      </w:r>
    </w:p>
    <w:p>
      <w:pPr>
        <w:spacing w:after="140"/>
      </w:pPr>
      <w:r>
        <w:t xml:space="preserve">We do not need a schedule for every forecast year. The model projects the forecast years; we only download the </w:t>
      </w:r>
      <w:r>
        <w:rPr>
          <w:b/>
          <w:bCs/>
        </w:rPr>
        <w:t xml:space="preserve">base-year</w:t>
      </w:r>
      <w:r>
        <w:t xml:space="preserve"> schedule each study was built from. So the span is the base years across the historic studies, roughly 2012 to 2024, at one or two weeks each, not continuous data.</w:t>
      </w:r>
    </w:p>
    <w:p>
      <w:pPr>
        <w:spacing w:after="140"/>
      </w:pPr>
      <w:r>
        <w:t xml:space="preserve">For each base year, two representative weeks: a </w:t>
      </w:r>
      <w:r>
        <w:rPr>
          <w:b/>
          <w:bCs/>
        </w:rPr>
        <w:t xml:space="preserve">summer</w:t>
      </w:r>
      <w:r>
        <w:t xml:space="preserve"> week (the week of the last Wednesday of May, matching the Wk27May convention) and a </w:t>
      </w:r>
      <w:r>
        <w:rPr>
          <w:b/>
          <w:bCs/>
        </w:rPr>
        <w:t xml:space="preserve">winter</w:t>
      </w:r>
      <w:r>
        <w:t xml:space="preserve"> week (a week in late October, matching Wk11Oct). A full week, not a single day, so day-of-week variation in frequency and timing is captured.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r>
              <w:rPr>
                <w:b/>
                <w:bCs/>
                <w:sz w:val="19"/>
                <w:szCs w:val="19"/>
              </w:rPr>
              <w:t xml:space="preserve">Study</w:t>
            </w:r>
          </w:p>
        </w:tc>
        <w:tc>
          <w:tcPr>
            <w:tcW w:type="dxa" w:w="67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r>
              <w:rPr>
                <w:b/>
                <w:bCs/>
                <w:sz w:val="19"/>
                <w:szCs w:val="19"/>
              </w:rPr>
              <w:t xml:space="preserve">Base years to pull (two weeks each)</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Chicago O'Hare (Ricondo)</w:t>
            </w:r>
          </w:p>
        </w:tc>
        <w:tc>
          <w:tcPr>
            <w:tcW w:type="dxa" w:w="67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2012, 2013, 2014</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San Jose</w:t>
            </w:r>
          </w:p>
        </w:tc>
        <w:tc>
          <w:tcPr>
            <w:tcW w:type="dxa" w:w="67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2013 (BA reference), 2017, 2018, 2019, then 2023, 2024</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Taipei</w:t>
            </w:r>
          </w:p>
        </w:tc>
        <w:tc>
          <w:tcPr>
            <w:tcW w:type="dxa" w:w="67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2017, 2018, 2019 (databases also span 2012-2020)</w:t>
            </w:r>
          </w:p>
        </w:tc>
      </w:tr>
      <w:t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Tampa</w:t>
            </w:r>
          </w:p>
        </w:tc>
        <w:tc>
          <w:tcPr>
            <w:tcW w:type="dxa" w:w="67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2019, 2021</w:t>
            </w:r>
          </w:p>
        </w:tc>
      </w:tr>
    </w:tbl>
    <w:p>
      <w:pPr>
        <w:spacing w:after="120"/>
      </w:pPr>
    </w:p>
    <w:p>
      <w:pPr>
        <w:pStyle w:val="Heading1"/>
      </w:pPr>
      <w:r>
        <w:t xml:space="preserve">Geography, phased</w:t>
      </w:r>
    </w:p>
    <w:p>
      <w:pPr>
        <w:spacing w:after="140"/>
      </w:pPr>
      <w:r>
        <w:t xml:space="preserve">Request the full schedule (all carriers, all flights) for the specific airports the test routes touch, not whole continents and not single O&amp;D pairs; the connection builder needs every leg at a hub to assemble routings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r>
              <w:rPr>
                <w:b/>
                <w:bCs/>
                <w:sz w:val="19"/>
                <w:szCs w:val="19"/>
              </w:rPr>
              <w:t xml:space="preserve">Phase</w:t>
            </w:r>
          </w:p>
        </w:tc>
        <w:tc>
          <w:tcPr>
            <w:tcW w:type="dxa" w:w="73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r>
              <w:rPr>
                <w:b/>
                <w:bCs/>
                <w:sz w:val="19"/>
                <w:szCs w:val="19"/>
              </w:rPr>
              <w:t xml:space="preserve">Airports (full schedule at each, all carriers)</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A. Prove the mechanics (Europe hubs + the BA LHR-SJC back-test)</w:t>
            </w:r>
          </w:p>
        </w:tc>
        <w:tc>
          <w:tcPr>
            <w:tcW w:type="dxa" w:w="73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Origins and US gateways: SJC, SFO, OAK, JFK, EWR, BOS, IAD, ORD, ATL, DFW, MIA, LAX, SEA. European hubs: LHR, LGW, CDG, ORY, AMS, FRA, MUC, ZRH, DUB, KEF, BCN, MAD, LIS, WAW, VIE, FCO, CPH, ARN, OSL, HEL. Bridging hubs that compete for Europe/India/Middle East: DXB, DOH, IST.</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B. Add Asia, Middle East, India</w:t>
            </w:r>
          </w:p>
        </w:tc>
        <w:tc>
          <w:tcPr>
            <w:tcW w:type="dxa" w:w="73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HKG, TPE, PEK, PVG, CAN, SZX, ICN, NRT, HND, KIX, SIN, BKK, KUL, CGK, SGN, HAN, MNL, DEL, BOM, AUH, TLV.</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 Other origins and the wider hubs (mainly the Chicago study)</w:t>
            </w:r>
          </w:p>
        </w:tc>
        <w:tc>
          <w:tcPr>
            <w:tcW w:type="dxa" w:w="73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Other origins: MAN, STN, LCY (London system), ORD, MDW (Chicago), TPA, MCO (Tampa). Wider hubs the Chicago set reaches: Africa (ADD, JNB, CAI), Latin America (MEX, BOG, PTY, GRU, SCL, LIM, UIO), the rest of the Gulf (JED, RUH, KWI), Russia (SVO), Australasia (SYD, AKL). Then global once the method holds across A and B.</w:t>
            </w:r>
          </w:p>
        </w:tc>
      </w:tr>
    </w:tbl>
    <w:p>
      <w:pPr>
        <w:spacing w:after="120"/>
      </w:pPr>
    </w:p>
    <w:p>
      <w:pPr>
        <w:pStyle w:val="Heading1"/>
      </w:pPr>
      <w:r>
        <w:t xml:space="preserve">Recommendation</w:t>
      </w:r>
    </w:p>
    <w:p>
      <w:pPr>
        <w:spacing w:after="140"/>
      </w:pPr>
      <w:r>
        <w:t xml:space="preserve">Ask Nick for one airport-week first: the full Schedules export for LHR, one summer week 2019, so I can confirm the parser reads the current OAG layout against a known good file. In parallel, request Phase A on the full field set, the European-hub airports plus US gateways, two weeks for 2013 and 2017-2019, which covers the BA LHR-SJC reference and the World Routes cycles. Prove the connection builder there before committing to Phase B (Asia and the Middle East) and the wider global pull in Phase C. Capturing the complete field set from the start is what lets the same download serve fare analysis, airline economics and competition work without a second global pull.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OAG download scope for the integrated forecasting tool</dc:title>
  <dc:creator>Avia Solutions</dc:creator>
  <dc:description>What to request from OAG, all modules</dc:description>
  <cp:lastModifiedBy>Avia Solutions</cp:lastModifiedBy>
  <cp:revision>1</cp:revision>
  <dcterms:created xsi:type="dcterms:W3CDTF">2026-06-25T20:41:09.596Z</dcterms:created>
  <dcterms:modified xsi:type="dcterms:W3CDTF">2026-06-25T20:41:09.600Z</dcterms:modified>
</cp:coreProperties>
</file>

<file path=docProps/custom.xml><?xml version="1.0" encoding="utf-8"?>
<Properties xmlns="http://schemas.openxmlformats.org/officeDocument/2006/custom-properties" xmlns:vt="http://schemas.openxmlformats.org/officeDocument/2006/docPropsVTypes"/>
</file>