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Open Picture.java and look for the method getPixels2D. Is it there?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No, the method is called a couple times, but it is never defined in Picture.java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Open SimplePicture.java and look for the method getPixels2D. Is it there?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the implementation for it is present as well.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3. Does the following code compile?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DigitalPicture p = new DigitalPicture();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code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does not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compile, the code above creates an object, p,  for an interface.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4. Assuming that a no-argument constructor exists for SimplePicture, would the following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code compile?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DigitalPicture p = new SimplePicture();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it should compile.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5. Assuming that a no-argument constructor exists for Picture, does the following code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compile?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DigitalPicture p = new Picture();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it should compile.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6. Assuming that a no-argument constructor exists for Picture, does the following code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compile?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SimplePicture p = new Picture();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as picture extends SimplePicture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7. Assuming that a no-argument constructor exists for SimplePicture, does the following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code compile?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Picture p = new SimplePicture();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No, because picture extend simple Picture (not the other way around)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