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jc w:val="center"/>
      </w:pPr>
      <w:r>
        <w:rPr>
          <w:rFonts w:ascii="Calibri" w:cs="Calibri" w:eastAsia="Calibri" w:hAnsi="Calibri"/>
          <w:b/>
          <w:bCs/>
          <w:color w:val="0D9B8A"/>
          <w:sz w:val="52"/>
          <w:szCs w:val="52"/>
        </w:rPr>
        <w:t xml:space="preserve">ZARA — BUSINESS MODEL &amp; GLOBALIZATION</w:t>
      </w:r>
    </w:p>
    <w:p>
      <w:pPr>
        <w:spacing w:before="200"/>
      </w:pPr>
    </w:p>
    <w:p>
      <w:pPr>
        <w:spacing w:after="120" w:before="0"/>
        <w:jc w:val="center"/>
      </w:pPr>
      <w:r>
        <w:rPr>
          <w:rFonts w:ascii="Calibri" w:cs="Calibri" w:eastAsia="Calibri" w:hAnsi="Calibri"/>
          <w:b/>
          <w:bCs/>
          <w:color w:val="0F2438"/>
          <w:sz w:val="36"/>
          <w:szCs w:val="36"/>
        </w:rPr>
        <w:t xml:space="preserve">Round-by-Round Developer Script</w:t>
      </w:r>
    </w:p>
    <w:p>
      <w:pPr>
        <w:spacing w:before="400"/>
      </w:pPr>
    </w:p>
    <w:p>
      <w:pPr>
        <w:spacing w:after="120" w:before="0"/>
        <w:jc w:val="center"/>
      </w:pPr>
      <w:r>
        <w:rPr>
          <w:rFonts w:ascii="Calibri" w:cs="Calibri" w:eastAsia="Calibri" w:hAnsi="Calibri"/>
          <w:color w:val="6B7280"/>
          <w:sz w:val="24"/>
          <w:szCs w:val="24"/>
        </w:rPr>
        <w:t xml:space="preserve">SimuLok.ai | Prof. Snehal Awate | IIT Bombay</w:t>
      </w:r>
    </w:p>
    <w:p>
      <w:pPr>
        <w:spacing w:after="120" w:before="0"/>
        <w:jc w:val="center"/>
      </w:pPr>
      <w:r>
        <w:rPr>
          <w:rFonts w:ascii="Calibri" w:cs="Calibri" w:eastAsia="Calibri" w:hAnsi="Calibri"/>
          <w:color w:val="6B7280"/>
          <w:sz w:val="22"/>
          <w:szCs w:val="22"/>
        </w:rPr>
        <w:t xml:space="preserve">Version 1.0 — September 2026</w:t>
      </w:r>
    </w:p>
    <w:p>
      <w:pPr>
        <w:spacing w:before="600"/>
      </w:pPr>
    </w:p>
    <w:p>
      <w:pPr>
        <w:spacing w:after="120" w:before="0"/>
        <w:jc w:val="center"/>
      </w:pPr>
      <w:r>
        <w:rPr>
          <w:rFonts w:ascii="Calibri" w:cs="Calibri" w:eastAsia="Calibri" w:hAnsi="Calibri"/>
          <w:i/>
          <w:iCs/>
          <w:color w:val="6B7280"/>
          <w:sz w:val="22"/>
          <w:szCs w:val="22"/>
        </w:rPr>
        <w:t xml:space="preserve">For developers building and testing the simulation engine. Each quarter's entry details the news event, mechanics that activate, available decisions, formulas executed, expected state ranges, and teaching objectives.</w:t>
      </w:r>
    </w:p>
    <w:p>
      <w:r>
        <w:br w:type="page"/>
      </w:r>
    </w:p>
    <w:p>
      <w:pPr>
        <w:pStyle w:val="Heading1"/>
        <w:spacing w:after="120" w:before="360"/>
      </w:pPr>
      <w:r>
        <w:t xml:space="preserve">Table of Contents</w:t>
      </w:r>
    </w:p>
    <w:sdt>
      <w:sdtPr>
        <w:alias w:val="Table of Contents"/>
      </w:sdtPr>
      <w:sdtContent>
        <w:p>
          <w:r>
            <w:fldChar w:fldCharType="begin" w:dirty="true"/>
            <w:instrText xml:space="preserve">TOC \h \o "1-2" \t "Heading1,1,Heading2,2"</w:instrText>
            <w:fldChar w:fldCharType="separate"/>
          </w:r>
        </w:p>
        <w:p>
          <w:r>
            <w:fldChar w:fldCharType="end"/>
          </w:r>
        </w:p>
      </w:sdtContent>
    </w:sdt>
    <w:p>
      <w:r>
        <w:br w:type="page"/>
      </w:r>
    </w:p>
    <w:p>
      <w:pPr>
        <w:pStyle w:val="Heading1"/>
        <w:spacing w:after="120" w:before="360"/>
      </w:pPr>
      <w:r>
        <w:t xml:space="preserve">Document Overview</w:t>
      </w:r>
    </w:p>
    <w:p>
      <w:pPr>
        <w:spacing w:after="120" w:before="0"/>
      </w:pPr>
      <w:r>
        <w:rPr>
          <w:rFonts w:ascii="Calibri" w:cs="Calibri" w:eastAsia="Calibri" w:hAnsi="Calibri"/>
          <w:color w:val="333333"/>
          <w:sz w:val="22"/>
          <w:szCs w:val="22"/>
        </w:rPr>
        <w:t xml:space="preserve">This document is the chronological developer script for the Zara — Business Model &amp; Globalization simulator. It walks through all 12 quarters (Q1–Q12) in play order, detailing:</w:t>
      </w:r>
    </w:p>
    <w:p>
      <w:pPr>
        <w:pStyle w:val="ListParagraph"/>
        <w:numPr>
          <w:ilvl w:val="0"/>
          <w:numId w:val="1"/>
        </w:numPr>
        <w:spacing w:after="60"/>
      </w:pPr>
      <w:r>
        <w:rPr>
          <w:rFonts w:ascii="Calibri" w:cs="Calibri" w:eastAsia="Calibri" w:hAnsi="Calibri"/>
          <w:color w:val="333333"/>
          <w:sz w:val="22"/>
          <w:szCs w:val="22"/>
        </w:rPr>
        <w:t xml:space="preserve">What news event the player sees and its pedagogical intent</w:t>
      </w:r>
    </w:p>
    <w:p>
      <w:pPr>
        <w:pStyle w:val="ListParagraph"/>
        <w:numPr>
          <w:ilvl w:val="0"/>
          <w:numId w:val="1"/>
        </w:numPr>
        <w:spacing w:after="60"/>
      </w:pPr>
      <w:r>
        <w:rPr>
          <w:rFonts w:ascii="Calibri" w:cs="Calibri" w:eastAsia="Calibri" w:hAnsi="Calibri"/>
          <w:color w:val="333333"/>
          <w:sz w:val="22"/>
          <w:szCs w:val="22"/>
        </w:rPr>
        <w:t xml:space="preserve">Which special mechanics activate (compliance, entry mode locks, TAM bumps)</w:t>
      </w:r>
    </w:p>
    <w:p>
      <w:pPr>
        <w:pStyle w:val="ListParagraph"/>
        <w:numPr>
          <w:ilvl w:val="0"/>
          <w:numId w:val="1"/>
        </w:numPr>
        <w:spacing w:after="60"/>
      </w:pPr>
      <w:r>
        <w:rPr>
          <w:rFonts w:ascii="Calibri" w:cs="Calibri" w:eastAsia="Calibri" w:hAnsi="Calibri"/>
          <w:color w:val="333333"/>
          <w:sz w:val="22"/>
          <w:szCs w:val="22"/>
        </w:rPr>
        <w:t xml:space="preserve">All decisions available and their parameter ranges</w:t>
      </w:r>
    </w:p>
    <w:p>
      <w:pPr>
        <w:pStyle w:val="ListParagraph"/>
        <w:numPr>
          <w:ilvl w:val="0"/>
          <w:numId w:val="1"/>
        </w:numPr>
        <w:spacing w:after="60"/>
      </w:pPr>
      <w:r>
        <w:rPr>
          <w:rFonts w:ascii="Calibri" w:cs="Calibri" w:eastAsia="Calibri" w:hAnsi="Calibri"/>
          <w:color w:val="333333"/>
          <w:sz w:val="22"/>
          <w:szCs w:val="22"/>
        </w:rPr>
        <w:t xml:space="preserve">The exact formulas executed during quarter resolution</w:t>
      </w:r>
    </w:p>
    <w:p>
      <w:pPr>
        <w:pStyle w:val="ListParagraph"/>
        <w:numPr>
          <w:ilvl w:val="0"/>
          <w:numId w:val="1"/>
        </w:numPr>
        <w:spacing w:after="60"/>
      </w:pPr>
      <w:r>
        <w:rPr>
          <w:rFonts w:ascii="Calibri" w:cs="Calibri" w:eastAsia="Calibri" w:hAnsi="Calibri"/>
          <w:color w:val="333333"/>
          <w:sz w:val="22"/>
          <w:szCs w:val="22"/>
        </w:rPr>
        <w:t xml:space="preserve">Expected state ranges for a "reasonable" playthrough</w:t>
      </w:r>
    </w:p>
    <w:p>
      <w:pPr>
        <w:pStyle w:val="ListParagraph"/>
        <w:numPr>
          <w:ilvl w:val="0"/>
          <w:numId w:val="1"/>
        </w:numPr>
        <w:spacing w:after="60"/>
      </w:pPr>
      <w:r>
        <w:rPr>
          <w:rFonts w:ascii="Calibri" w:cs="Calibri" w:eastAsia="Calibri" w:hAnsi="Calibri"/>
          <w:color w:val="333333"/>
          <w:sz w:val="22"/>
          <w:szCs w:val="22"/>
        </w:rPr>
        <w:t xml:space="preserve">Developer validation checklists</w:t>
      </w:r>
    </w:p>
    <w:p>
      <w:pPr>
        <w:pStyle w:val="ListParagraph"/>
        <w:numPr>
          <w:ilvl w:val="0"/>
          <w:numId w:val="1"/>
        </w:numPr>
        <w:spacing w:after="60"/>
      </w:pPr>
      <w:r>
        <w:rPr>
          <w:rFonts w:ascii="Calibri" w:cs="Calibri" w:eastAsia="Calibri" w:hAnsi="Calibri"/>
          <w:color w:val="333333"/>
          <w:sz w:val="22"/>
          <w:szCs w:val="22"/>
        </w:rPr>
        <w:t xml:space="preserve">The teaching objective the quarter is designed to test</w:t>
      </w:r>
    </w:p>
    <w:p>
      <w:pPr>
        <w:spacing w:before="200"/>
      </w:pPr>
    </w:p>
    <w:p>
      <w:pPr>
        <w:spacing w:after="120" w:before="0"/>
      </w:pPr>
      <w:r>
        <w:rPr>
          <w:rFonts w:ascii="Calibri" w:cs="Calibri" w:eastAsia="Calibri" w:hAnsi="Calibri"/>
          <w:b/>
          <w:bCs/>
          <w:color w:val="0F2438"/>
          <w:sz w:val="22"/>
          <w:szCs w:val="22"/>
        </w:rPr>
        <w:t xml:space="preserve">How this differs from other documents:</w:t>
      </w:r>
    </w:p>
    <w:p>
      <w:pPr>
        <w:pStyle w:val="ListParagraph"/>
        <w:numPr>
          <w:ilvl w:val="0"/>
          <w:numId w:val="1"/>
        </w:numPr>
        <w:spacing w:after="60"/>
      </w:pPr>
      <w:r>
        <w:rPr>
          <w:rFonts w:ascii="Calibri" w:cs="Calibri" w:eastAsia="Calibri" w:hAnsi="Calibri"/>
          <w:color w:val="333333"/>
          <w:sz w:val="22"/>
          <w:szCs w:val="22"/>
        </w:rPr>
        <w:t xml:space="preserve">LLD (Low-Level Design): Organized by module (BM Canvas, Globalization, Replicability). Covers all formulas and constants but is not chronological.</w:t>
      </w:r>
    </w:p>
    <w:p>
      <w:pPr>
        <w:pStyle w:val="ListParagraph"/>
        <w:numPr>
          <w:ilvl w:val="0"/>
          <w:numId w:val="1"/>
        </w:numPr>
        <w:spacing w:after="60"/>
      </w:pPr>
      <w:r>
        <w:rPr>
          <w:rFonts w:ascii="Calibri" w:cs="Calibri" w:eastAsia="Calibri" w:hAnsi="Calibri"/>
          <w:color w:val="333333"/>
          <w:sz w:val="22"/>
          <w:szCs w:val="22"/>
        </w:rPr>
        <w:t xml:space="preserve">Student Handbook: Player-facing. No formulas, no internal mechanics. Teaches strategy, not code.</w:t>
      </w:r>
    </w:p>
    <w:p>
      <w:pPr>
        <w:pStyle w:val="ListParagraph"/>
        <w:numPr>
          <w:ilvl w:val="0"/>
          <w:numId w:val="1"/>
        </w:numPr>
        <w:spacing w:after="60"/>
      </w:pPr>
      <w:r>
        <w:rPr>
          <w:rFonts w:ascii="Calibri" w:cs="Calibri" w:eastAsia="Calibri" w:hAnsi="Calibri"/>
          <w:color w:val="333333"/>
          <w:sz w:val="22"/>
          <w:szCs w:val="22"/>
        </w:rPr>
        <w:t xml:space="preserve">Math Specification: For statistical verification. Formal notation, provenance labels, dependency graphs.</w:t>
      </w:r>
    </w:p>
    <w:p>
      <w:pPr>
        <w:pStyle w:val="ListParagraph"/>
        <w:numPr>
          <w:ilvl w:val="0"/>
          <w:numId w:val="1"/>
        </w:numPr>
        <w:spacing w:after="60"/>
      </w:pPr>
      <w:r>
        <w:rPr>
          <w:rFonts w:ascii="Calibri" w:cs="Calibri" w:eastAsia="Calibri" w:hAnsi="Calibri"/>
          <w:color w:val="333333"/>
          <w:sz w:val="22"/>
          <w:szCs w:val="22"/>
        </w:rPr>
        <w:t xml:space="preserve">This document (Round Script): Chronological (Q1→Q12). Developer-facing. Shows what happens each quarter and what to test.</w:t>
      </w:r>
    </w:p>
    <w:p>
      <w:pPr>
        <w:spacing w:before="200"/>
      </w:pPr>
    </w:p>
    <w:p>
      <w:pPr>
        <w:pStyle w:val="Heading2"/>
        <w:spacing w:after="120" w:before="200"/>
      </w:pPr>
      <w:r>
        <w:t xml:space="preserve">Simulation Constants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Max quarters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cost/quarter</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€0.22M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open capex</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close cost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Corporate overhead</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€300M/quarter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Selling cost rate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17% of realized price</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Selling cost fixed</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€1.0M/unit</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TAM base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1,500M garments</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TAM growth</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0.95%/quarter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Price floor/ceiling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 – €130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MCI exponent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2.6 (Nakanishi &amp; Cooper, 1974)</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Adstock decay</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Speed −3/q, Sustain −2/q, Digital −1.5/q, AI 0/q</w:t>
            </w:r>
          </w:p>
        </w:tc>
      </w:tr>
    </w:tbl>
    <w:p>
      <w:pPr>
        <w:spacing w:before="200"/>
      </w:pPr>
    </w:p>
    <w:p>
      <w:pPr>
        <w:pStyle w:val="Heading2"/>
        <w:spacing w:after="120" w:before="200"/>
      </w:pPr>
      <w:r>
        <w:t xml:space="preserve">Initial State (Q1 Start)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1,885</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€4,223M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€749M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9.8%</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Gross margin</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57.9%</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Markdown</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16.5%</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82</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 axis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22</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44</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axis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Visits/year</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15.7</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Inventory turns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5.3</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Units sold</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113M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Active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only (price €38)</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All 10 active</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 active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(507 stores), Europe (186), Middle East (27), Americas (35), Asia-Pacific (5)</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Entry modes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&amp; Europe: Own. Others: Franchise.</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Cash</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 (cumulative)</w:t>
            </w:r>
          </w:p>
        </w:tc>
      </w:tr>
    </w:tbl>
    <w:p>
      <w:r>
        <w:br w:type="page"/>
      </w:r>
    </w:p>
    <w:p>
      <w:pPr>
        <w:pStyle w:val="Heading1"/>
        <w:spacing w:after="120" w:before="360"/>
      </w:pPr>
      <w:r>
        <w:t xml:space="preserve">Quarter 1: The Inheritance</w:t>
      </w:r>
    </w:p>
    <w:p>
      <w:pPr>
        <w:spacing w:after="120" w:before="0"/>
      </w:pPr>
      <w:r>
        <w:rPr>
          <w:rFonts w:ascii="Calibri" w:cs="Calibri" w:eastAsia="Calibri" w:hAnsi="Calibri"/>
          <w:i/>
          <w:iCs/>
          <w:color w:val="6B7280"/>
          <w:sz w:val="22"/>
          <w:szCs w:val="22"/>
        </w:rPr>
        <w:t xml:space="preserve">Year 1 (2023) — Quarter 1 of Year 1</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March 2023. You inherit the most profitable brand in fast fashion — 1,885 stores, a two-week design-to-shelf cycle, and 15% markdowns against an industry 35%. The business model is an interlocked system of choices: vertical integration, centralized distribution, stores as sensors, and scarcity as strategy. Your job: understand what connects to what — then decide what to change, where to grow, and what can be copied.</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UNLOCKED: Players can change entry mode (Own / JV / Franchise) for each region. Next unlock: Q5.</w:t>
      </w:r>
    </w:p>
    <w:p>
      <w:pPr>
        <w:pStyle w:val="ListParagraph"/>
        <w:numPr>
          <w:ilvl w:val="0"/>
          <w:numId w:val="1"/>
        </w:numPr>
        <w:spacing w:after="60"/>
      </w:pPr>
      <w:r>
        <w:rPr>
          <w:rFonts w:ascii="Calibri" w:cs="Calibri" w:eastAsia="Calibri" w:hAnsi="Calibri"/>
          <w:color w:val="333333"/>
          <w:sz w:val="22"/>
          <w:szCs w:val="22"/>
        </w:rPr>
        <w:t xml:space="preserve">No compliance costs yet. Compliance activates at Q7.</w:t>
      </w:r>
    </w:p>
    <w:p>
      <w:pPr>
        <w:pStyle w:val="ListParagraph"/>
        <w:numPr>
          <w:ilvl w:val="0"/>
          <w:numId w:val="1"/>
        </w:numPr>
        <w:spacing w:after="60"/>
      </w:pPr>
      <w:r>
        <w:rPr>
          <w:rFonts w:ascii="Calibri" w:cs="Calibri" w:eastAsia="Calibri" w:hAnsi="Calibri"/>
          <w:color w:val="333333"/>
          <w:sz w:val="22"/>
          <w:szCs w:val="22"/>
        </w:rPr>
        <w:t xml:space="preserve">Segment shares at Q1: Urban Trend Seekers: 42.0%, Digital Value Shoppers: 30.0%, Conscious Premium: 5.0%, Extended-Size Shoppers: 23.0%.</w:t>
      </w:r>
    </w:p>
    <w:p>
      <w:pPr>
        <w:pStyle w:val="ListParagraph"/>
        <w:numPr>
          <w:ilvl w:val="0"/>
          <w:numId w:val="1"/>
        </w:numPr>
        <w:spacing w:after="60"/>
      </w:pPr>
      <w:r>
        <w:rPr>
          <w:rFonts w:ascii="Calibri" w:cs="Calibri" w:eastAsia="Calibri" w:hAnsi="Calibri"/>
          <w:color w:val="333333"/>
          <w:sz w:val="22"/>
          <w:szCs w:val="22"/>
        </w:rPr>
        <w:t xml:space="preserve">Total Addressable Market (TAM): 1,500M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changeable this quarter (Own/JV/Franchise).</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€3,800–4,500M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€500–900M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8–12%</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1,700–2,000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78–86</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Markdown</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14–20%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Visits/yr</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14–17</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Q1: Verify entry mode selectors are ENABLED (unlocked quarter).</w:t>
      </w:r>
    </w:p>
    <w:p>
      <w:pPr>
        <w:pStyle w:val="ListParagraph"/>
        <w:numPr>
          <w:ilvl w:val="0"/>
          <w:numId w:val="1"/>
        </w:numPr>
        <w:spacing w:after="60"/>
      </w:pPr>
      <w:r>
        <w:rPr>
          <w:rFonts w:ascii="Calibri" w:cs="Calibri" w:eastAsia="Calibri" w:hAnsi="Calibri"/>
          <w:color w:val="333333"/>
          <w:sz w:val="22"/>
          <w:szCs w:val="22"/>
        </w:rPr>
        <w:t xml:space="preserve">Q1: Verify compliance cost = 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Understand Zara's inherited business model as an interlocked system. Identify which blocks are upstream (supply-side) vs downstream (demand-side). Recognize that Quick Response is an emergent property, not a standalone block. First contact with the 10-block canvas and the cascade engine.</w:t>
      </w:r>
    </w:p>
    <w:p>
      <w:r>
        <w:br w:type="page"/>
      </w:r>
    </w:p>
    <w:p>
      <w:pPr>
        <w:pStyle w:val="Heading1"/>
        <w:spacing w:after="120" w:before="360"/>
      </w:pPr>
      <w:r>
        <w:t xml:space="preserve">Quarter 2: The Online Line Crosses</w:t>
      </w:r>
    </w:p>
    <w:p>
      <w:pPr>
        <w:spacing w:after="120" w:before="0"/>
      </w:pPr>
      <w:r>
        <w:rPr>
          <w:rFonts w:ascii="Calibri" w:cs="Calibri" w:eastAsia="Calibri" w:hAnsi="Calibri"/>
          <w:i/>
          <w:iCs/>
          <w:color w:val="6B7280"/>
          <w:sz w:val="22"/>
          <w:szCs w:val="22"/>
        </w:rPr>
        <w:t xml:space="preserve">Year 1 (2023) — Quarter 2 of Year 1</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Online passes 20% of all fashion retail. Your online sales are a quarter of the total and growing at 4% — the pure-play rivals grow at four times that. What does going digital mean for a model built around physical stores?</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Next unlock: Q5.</w:t>
      </w:r>
    </w:p>
    <w:p>
      <w:pPr>
        <w:pStyle w:val="ListParagraph"/>
        <w:numPr>
          <w:ilvl w:val="0"/>
          <w:numId w:val="1"/>
        </w:numPr>
        <w:spacing w:after="60"/>
      </w:pPr>
      <w:r>
        <w:rPr>
          <w:rFonts w:ascii="Calibri" w:cs="Calibri" w:eastAsia="Calibri" w:hAnsi="Calibri"/>
          <w:color w:val="333333"/>
          <w:sz w:val="22"/>
          <w:szCs w:val="22"/>
        </w:rPr>
        <w:t xml:space="preserve">No compliance costs yet. Compliance activates at Q7.</w:t>
      </w:r>
    </w:p>
    <w:p>
      <w:pPr>
        <w:pStyle w:val="ListParagraph"/>
        <w:numPr>
          <w:ilvl w:val="0"/>
          <w:numId w:val="1"/>
        </w:numPr>
        <w:spacing w:after="60"/>
      </w:pPr>
      <w:r>
        <w:rPr>
          <w:rFonts w:ascii="Calibri" w:cs="Calibri" w:eastAsia="Calibri" w:hAnsi="Calibri"/>
          <w:color w:val="333333"/>
          <w:sz w:val="22"/>
          <w:szCs w:val="22"/>
        </w:rPr>
        <w:t xml:space="preserve">Segment shares at Q2: Urban Trend Seekers: 41.0%, Digital Value Shoppers: 31.2%, Conscious Premium: 5.5%, Extended-Size Shoppers: 22.3%.</w:t>
      </w:r>
    </w:p>
    <w:p>
      <w:pPr>
        <w:pStyle w:val="ListParagraph"/>
        <w:numPr>
          <w:ilvl w:val="0"/>
          <w:numId w:val="1"/>
        </w:numPr>
        <w:spacing w:after="60"/>
      </w:pPr>
      <w:r>
        <w:rPr>
          <w:rFonts w:ascii="Calibri" w:cs="Calibri" w:eastAsia="Calibri" w:hAnsi="Calibri"/>
          <w:color w:val="333333"/>
          <w:sz w:val="22"/>
          <w:szCs w:val="22"/>
        </w:rPr>
        <w:t xml:space="preserve">Total Addressable Market (TAM): 1,514M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€3,600–4,800M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€400–1,000M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7–13%</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1,600–2,100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74–88</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axis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42–60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Markdown</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13–22%</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Q2: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Q2: Verify compliance cost = 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Confront the digital channel question: what does online mean for a model built around physical stores? Students discover the tension between digital reach (which Shein dominates) and store experience (which is Zara's edge). The Digital-Exclusive line becomes relevant.</w:t>
      </w:r>
    </w:p>
    <w:p>
      <w:r>
        <w:br w:type="page"/>
      </w:r>
    </w:p>
    <w:p>
      <w:pPr>
        <w:pStyle w:val="Heading1"/>
        <w:spacing w:after="120" w:before="360"/>
      </w:pPr>
      <w:r>
        <w:t xml:space="preserve">Quarter 3: The Water Report</w:t>
      </w:r>
    </w:p>
    <w:p>
      <w:pPr>
        <w:spacing w:after="120" w:before="0"/>
      </w:pPr>
      <w:r>
        <w:rPr>
          <w:rFonts w:ascii="Calibri" w:cs="Calibri" w:eastAsia="Calibri" w:hAnsi="Calibri"/>
          <w:i/>
          <w:iCs/>
          <w:color w:val="6B7280"/>
          <w:sz w:val="22"/>
          <w:szCs w:val="22"/>
        </w:rPr>
        <w:t xml:space="preserve">Year 1 (2023) — Quarter 3 of Year 1</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A study lands: 2,700 litres of water per cotton blouse, 20% of global industrial water pollution. It trends for a week. Nobody stops buying. The question is whether that holds — and what your supply chain's geographic concentration means for the answer.</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Next unlock: Q5.</w:t>
      </w:r>
    </w:p>
    <w:p>
      <w:pPr>
        <w:pStyle w:val="ListParagraph"/>
        <w:numPr>
          <w:ilvl w:val="0"/>
          <w:numId w:val="1"/>
        </w:numPr>
        <w:spacing w:after="60"/>
      </w:pPr>
      <w:r>
        <w:rPr>
          <w:rFonts w:ascii="Calibri" w:cs="Calibri" w:eastAsia="Calibri" w:hAnsi="Calibri"/>
          <w:color w:val="333333"/>
          <w:sz w:val="22"/>
          <w:szCs w:val="22"/>
        </w:rPr>
        <w:t xml:space="preserve">No compliance costs yet. Compliance activates at Q7.</w:t>
      </w:r>
    </w:p>
    <w:p>
      <w:pPr>
        <w:pStyle w:val="ListParagraph"/>
        <w:numPr>
          <w:ilvl w:val="0"/>
          <w:numId w:val="1"/>
        </w:numPr>
        <w:spacing w:after="60"/>
      </w:pPr>
      <w:r>
        <w:rPr>
          <w:rFonts w:ascii="Calibri" w:cs="Calibri" w:eastAsia="Calibri" w:hAnsi="Calibri"/>
          <w:color w:val="333333"/>
          <w:sz w:val="22"/>
          <w:szCs w:val="22"/>
        </w:rPr>
        <w:t xml:space="preserve">Segment shares at Q3: Urban Trend Seekers: 40.0%, Digital Value Shoppers: 32.4%, Conscious Premium: 6.0%, Extended-Size Shoppers: 21.6%.</w:t>
      </w:r>
    </w:p>
    <w:p>
      <w:pPr>
        <w:pStyle w:val="ListParagraph"/>
        <w:numPr>
          <w:ilvl w:val="0"/>
          <w:numId w:val="1"/>
        </w:numPr>
        <w:spacing w:after="60"/>
      </w:pPr>
      <w:r>
        <w:rPr>
          <w:rFonts w:ascii="Calibri" w:cs="Calibri" w:eastAsia="Calibri" w:hAnsi="Calibri"/>
          <w:color w:val="333333"/>
          <w:sz w:val="22"/>
          <w:szCs w:val="22"/>
        </w:rPr>
        <w:t xml:space="preserve">Total Addressable Market (TAM): 1,529M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€3,400–5,200M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€300–1,200M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6–15%</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1,500–2,200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20–40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Markdown</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12–24%</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Visits/yr</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12–18</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Q3: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Q3: Verify compliance cost = 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Introduce sustainability as a strategic axis, not just a cost. The "water report" news plants the seed for Q7 compliance. Students who invest early in sustainability will be rewarded later. Those who ignore it will face costs.</w:t>
      </w:r>
    </w:p>
    <w:p>
      <w:r>
        <w:br w:type="page"/>
      </w:r>
    </w:p>
    <w:p>
      <w:pPr>
        <w:pStyle w:val="Heading1"/>
        <w:spacing w:after="120" w:before="360"/>
      </w:pPr>
      <w:r>
        <w:t xml:space="preserve">Quarter 4: Year One Close</w:t>
      </w:r>
    </w:p>
    <w:p>
      <w:pPr>
        <w:spacing w:after="120" w:before="0"/>
      </w:pPr>
      <w:r>
        <w:rPr>
          <w:rFonts w:ascii="Calibri" w:cs="Calibri" w:eastAsia="Calibri" w:hAnsi="Calibri"/>
          <w:i/>
          <w:iCs/>
          <w:color w:val="6B7280"/>
          <w:sz w:val="22"/>
          <w:szCs w:val="22"/>
        </w:rPr>
        <w:t xml:space="preserve">Year 1 (2023) — Quarter 4 of Year 1</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Year one close. The board reads the numbers. "Are you defending the old model or building a new one?" They also want to know: which regions justify expansion?</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Next unlock: Q5.</w:t>
      </w:r>
    </w:p>
    <w:p>
      <w:pPr>
        <w:pStyle w:val="ListParagraph"/>
        <w:numPr>
          <w:ilvl w:val="0"/>
          <w:numId w:val="1"/>
        </w:numPr>
        <w:spacing w:after="60"/>
      </w:pPr>
      <w:r>
        <w:rPr>
          <w:rFonts w:ascii="Calibri" w:cs="Calibri" w:eastAsia="Calibri" w:hAnsi="Calibri"/>
          <w:color w:val="333333"/>
          <w:sz w:val="22"/>
          <w:szCs w:val="22"/>
        </w:rPr>
        <w:t xml:space="preserve">No compliance costs yet. Compliance activates at Q7.</w:t>
      </w:r>
    </w:p>
    <w:p>
      <w:pPr>
        <w:pStyle w:val="ListParagraph"/>
        <w:numPr>
          <w:ilvl w:val="0"/>
          <w:numId w:val="1"/>
        </w:numPr>
        <w:spacing w:after="60"/>
      </w:pPr>
      <w:r>
        <w:rPr>
          <w:rFonts w:ascii="Calibri" w:cs="Calibri" w:eastAsia="Calibri" w:hAnsi="Calibri"/>
          <w:color w:val="333333"/>
          <w:sz w:val="22"/>
          <w:szCs w:val="22"/>
        </w:rPr>
        <w:t xml:space="preserve">YEAR-END REVIEW: This is a board review quarter. Players see full P&amp;L breakdown and cumulative performance.</w:t>
      </w:r>
    </w:p>
    <w:p>
      <w:pPr>
        <w:pStyle w:val="ListParagraph"/>
        <w:numPr>
          <w:ilvl w:val="0"/>
          <w:numId w:val="1"/>
        </w:numPr>
        <w:spacing w:after="60"/>
      </w:pPr>
      <w:r>
        <w:rPr>
          <w:rFonts w:ascii="Calibri" w:cs="Calibri" w:eastAsia="Calibri" w:hAnsi="Calibri"/>
          <w:color w:val="333333"/>
          <w:sz w:val="22"/>
          <w:szCs w:val="22"/>
        </w:rPr>
        <w:t xml:space="preserve">Segment shares at Q4: Urban Trend Seekers: 39.0%, Digital Value Shoppers: 33.6%, Conscious Premium: 6.5%, Extended-Size Shoppers: 20.9%.</w:t>
      </w:r>
    </w:p>
    <w:p>
      <w:pPr>
        <w:pStyle w:val="ListParagraph"/>
        <w:numPr>
          <w:ilvl w:val="0"/>
          <w:numId w:val="1"/>
        </w:numPr>
        <w:spacing w:after="60"/>
      </w:pPr>
      <w:r>
        <w:rPr>
          <w:rFonts w:ascii="Calibri" w:cs="Calibri" w:eastAsia="Calibri" w:hAnsi="Calibri"/>
          <w:color w:val="333333"/>
          <w:sz w:val="22"/>
          <w:szCs w:val="22"/>
        </w:rPr>
        <w:t xml:space="preserve">Total Addressable Market (TAM): 1,543M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€3,200–5,800M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€200–1,400M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Cumul. cash</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€1,500–4,000M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5–16%</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€0–2,000M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1,400–2,400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Replicability</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45–70</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Q4: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Q4: Verify compliance cost = 0.</w:t>
      </w:r>
    </w:p>
    <w:p>
      <w:pPr>
        <w:pStyle w:val="ListParagraph"/>
        <w:numPr>
          <w:ilvl w:val="0"/>
          <w:numId w:val="1"/>
        </w:numPr>
        <w:spacing w:after="60"/>
      </w:pPr>
      <w:r>
        <w:rPr>
          <w:rFonts w:ascii="Calibri" w:cs="Calibri" w:eastAsia="Calibri" w:hAnsi="Calibri"/>
          <w:color w:val="333333"/>
          <w:sz w:val="22"/>
          <w:szCs w:val="22"/>
        </w:rPr>
        <w:t xml:space="preserve">Q4: Year-end — verify history array has 4 entries and cumulative cash is correct.</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First board review. Students see the cumulative effect of 4 quarters of decisions. The board question — "defending the old model or building a new one?" — forces reflection on whether BM block changes were coherent. Globalization decisions start to show returns.</w:t>
      </w:r>
    </w:p>
    <w:p>
      <w:r>
        <w:br w:type="page"/>
      </w:r>
    </w:p>
    <w:p>
      <w:pPr>
        <w:pStyle w:val="Heading1"/>
        <w:spacing w:after="120" w:before="360"/>
      </w:pPr>
      <w:r>
        <w:t xml:space="preserve">Quarter 5: An Algorithm Learns Your Customer</w:t>
      </w:r>
    </w:p>
    <w:p>
      <w:pPr>
        <w:spacing w:after="120" w:before="0"/>
      </w:pPr>
      <w:r>
        <w:rPr>
          <w:rFonts w:ascii="Calibri" w:cs="Calibri" w:eastAsia="Calibri" w:hAnsi="Calibri"/>
          <w:i/>
          <w:iCs/>
          <w:color w:val="6B7280"/>
          <w:sz w:val="22"/>
          <w:szCs w:val="22"/>
        </w:rPr>
        <w:t xml:space="preserve">Year 2 (2024) — Quarter 1 of Year 2</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A rival ships AI-personalised feeds that predict a purchase before the customer knows they want it. The algorithm is starting to replace what your store staff were for. What blocks in the business model does this threaten?</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UNLOCKED: Players can change entry mode (Own / JV / Franchise) for each region. Next unlock: Q9.</w:t>
      </w:r>
    </w:p>
    <w:p>
      <w:pPr>
        <w:pStyle w:val="ListParagraph"/>
        <w:numPr>
          <w:ilvl w:val="0"/>
          <w:numId w:val="1"/>
        </w:numPr>
        <w:spacing w:after="60"/>
      </w:pPr>
      <w:r>
        <w:rPr>
          <w:rFonts w:ascii="Calibri" w:cs="Calibri" w:eastAsia="Calibri" w:hAnsi="Calibri"/>
          <w:color w:val="333333"/>
          <w:sz w:val="22"/>
          <w:szCs w:val="22"/>
        </w:rPr>
        <w:t xml:space="preserve">No compliance costs yet. Compliance activates at Q7.</w:t>
      </w:r>
    </w:p>
    <w:p>
      <w:pPr>
        <w:pStyle w:val="ListParagraph"/>
        <w:numPr>
          <w:ilvl w:val="0"/>
          <w:numId w:val="1"/>
        </w:numPr>
        <w:spacing w:after="60"/>
      </w:pPr>
      <w:r>
        <w:rPr>
          <w:rFonts w:ascii="Calibri" w:cs="Calibri" w:eastAsia="Calibri" w:hAnsi="Calibri"/>
          <w:color w:val="333333"/>
          <w:sz w:val="22"/>
          <w:szCs w:val="22"/>
        </w:rPr>
        <w:t xml:space="preserve">Segment shares at Q5: Urban Trend Seekers: 38.0%, Digital Value Shoppers: 34.8%, Conscious Premium: 7.0%, Extended-Size Shoppers: 20.2%.</w:t>
      </w:r>
    </w:p>
    <w:p>
      <w:pPr>
        <w:pStyle w:val="ListParagraph"/>
        <w:numPr>
          <w:ilvl w:val="0"/>
          <w:numId w:val="1"/>
        </w:numPr>
        <w:spacing w:after="60"/>
      </w:pPr>
      <w:r>
        <w:rPr>
          <w:rFonts w:ascii="Calibri" w:cs="Calibri" w:eastAsia="Calibri" w:hAnsi="Calibri"/>
          <w:color w:val="333333"/>
          <w:sz w:val="22"/>
          <w:szCs w:val="22"/>
        </w:rPr>
        <w:t xml:space="preserve">Total Addressable Market (TAM): 1,558M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changeable this quarter (Own/JV/Franchise).</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€3,000–6,500M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€100–1,600M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5–18%</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axis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70–90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1,300–2,500</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Q5: Verify entry mode selectors are ENABLED (unlocked quarter).</w:t>
      </w:r>
    </w:p>
    <w:p>
      <w:pPr>
        <w:pStyle w:val="ListParagraph"/>
        <w:numPr>
          <w:ilvl w:val="0"/>
          <w:numId w:val="1"/>
        </w:numPr>
        <w:spacing w:after="60"/>
      </w:pPr>
      <w:r>
        <w:rPr>
          <w:rFonts w:ascii="Calibri" w:cs="Calibri" w:eastAsia="Calibri" w:hAnsi="Calibri"/>
          <w:color w:val="333333"/>
          <w:sz w:val="22"/>
          <w:szCs w:val="22"/>
        </w:rPr>
        <w:t xml:space="preserve">Q5: Verify compliance cost = 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AI as competitive disruption. The rival AI-personalised feed threatens the store-as-sensor block. Students must decide: invest in AI (which partially replaces store insight) or defend the physical feedback loop? Entry mode unlocks again — strategic inflection point for globalization.</w:t>
      </w:r>
    </w:p>
    <w:p>
      <w:r>
        <w:br w:type="page"/>
      </w:r>
    </w:p>
    <w:p>
      <w:pPr>
        <w:pStyle w:val="Heading1"/>
        <w:spacing w:after="120" w:before="360"/>
      </w:pPr>
      <w:r>
        <w:t xml:space="preserve">Quarter 6: The Market Nobody Served</w:t>
      </w:r>
    </w:p>
    <w:p>
      <w:pPr>
        <w:spacing w:after="120" w:before="0"/>
      </w:pPr>
      <w:r>
        <w:rPr>
          <w:rFonts w:ascii="Calibri" w:cs="Calibri" w:eastAsia="Calibri" w:hAnsi="Calibri"/>
          <w:i/>
          <w:iCs/>
          <w:color w:val="6B7280"/>
          <w:sz w:val="22"/>
          <w:szCs w:val="22"/>
        </w:rPr>
        <w:t xml:space="preserve">Year 2 (2024) — Quarter 2 of Year 2</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Fresh data on the extended-size market — $193bn, growing 4.3% a year. Structurally underserved. It is sitting there. Serving it properly means changing parts of the supply chain.</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Next unlock: Q9.</w:t>
      </w:r>
    </w:p>
    <w:p>
      <w:pPr>
        <w:pStyle w:val="ListParagraph"/>
        <w:numPr>
          <w:ilvl w:val="0"/>
          <w:numId w:val="1"/>
        </w:numPr>
        <w:spacing w:after="60"/>
      </w:pPr>
      <w:r>
        <w:rPr>
          <w:rFonts w:ascii="Calibri" w:cs="Calibri" w:eastAsia="Calibri" w:hAnsi="Calibri"/>
          <w:color w:val="333333"/>
          <w:sz w:val="22"/>
          <w:szCs w:val="22"/>
        </w:rPr>
        <w:t xml:space="preserve">No compliance costs yet. Compliance activates at Q7.</w:t>
      </w:r>
    </w:p>
    <w:p>
      <w:pPr>
        <w:pStyle w:val="ListParagraph"/>
        <w:numPr>
          <w:ilvl w:val="0"/>
          <w:numId w:val="1"/>
        </w:numPr>
        <w:spacing w:after="60"/>
      </w:pPr>
      <w:r>
        <w:rPr>
          <w:rFonts w:ascii="Calibri" w:cs="Calibri" w:eastAsia="Calibri" w:hAnsi="Calibri"/>
          <w:color w:val="333333"/>
          <w:sz w:val="22"/>
          <w:szCs w:val="22"/>
        </w:rPr>
        <w:t xml:space="preserve">Segment shares at Q6: Urban Trend Seekers: 37.0%, Digital Value Shoppers: 36.0%, Conscious Premium: 7.5%, Extended-Size Shoppers: 19.5%.</w:t>
      </w:r>
    </w:p>
    <w:p>
      <w:pPr>
        <w:pStyle w:val="ListParagraph"/>
        <w:numPr>
          <w:ilvl w:val="0"/>
          <w:numId w:val="1"/>
        </w:numPr>
        <w:spacing w:after="60"/>
      </w:pPr>
      <w:r>
        <w:rPr>
          <w:rFonts w:ascii="Calibri" w:cs="Calibri" w:eastAsia="Calibri" w:hAnsi="Calibri"/>
          <w:color w:val="333333"/>
          <w:sz w:val="22"/>
          <w:szCs w:val="22"/>
        </w:rPr>
        <w:t xml:space="preserve">Total Addressable Market (TAM): 1,573M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€2,800–7,000M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€0–1,800M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4–20%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Lines active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1–4</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1,200–2,600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Markdown</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10–28%</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Visits/yr</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10–19</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Q6: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Q6: Verify compliance cost = 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Niche strategy and the extended-size market. The $193bn market data creates urgency around the Curve line. Students learn that serving new segments may require supply chain changes. The teaching note emphasizes: structural underservice is an opportunity, not an accident.</w:t>
      </w:r>
    </w:p>
    <w:p>
      <w:r>
        <w:br w:type="page"/>
      </w:r>
    </w:p>
    <w:p>
      <w:pPr>
        <w:pStyle w:val="Heading1"/>
        <w:spacing w:after="120" w:before="360"/>
      </w:pPr>
      <w:r>
        <w:t xml:space="preserve">Quarter 7: Brussels Writes a Rule</w:t>
      </w:r>
    </w:p>
    <w:p>
      <w:pPr>
        <w:spacing w:after="120" w:before="0"/>
      </w:pPr>
      <w:r>
        <w:rPr>
          <w:rFonts w:ascii="Calibri" w:cs="Calibri" w:eastAsia="Calibri" w:hAnsi="Calibri"/>
          <w:i/>
          <w:iCs/>
          <w:color w:val="6B7280"/>
          <w:sz w:val="22"/>
          <w:szCs w:val="22"/>
        </w:rPr>
        <w:t xml:space="preserve">Year 2 (2024) — Quarter 3 of Year 2</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Regulators move on transparent labelling. Voluntary schemes become real disclosure rules. How does your vertically integrated model fare against outsourced competitors on compliance?</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Next unlock: Q9.</w:t>
      </w:r>
    </w:p>
    <w:p>
      <w:pPr>
        <w:pStyle w:val="ListParagraph"/>
        <w:numPr>
          <w:ilvl w:val="0"/>
          <w:numId w:val="1"/>
        </w:numPr>
        <w:spacing w:after="60"/>
      </w:pPr>
      <w:r>
        <w:rPr>
          <w:rFonts w:ascii="Calibri" w:cs="Calibri" w:eastAsia="Calibri" w:hAnsi="Calibri"/>
          <w:color w:val="333333"/>
          <w:sz w:val="22"/>
          <w:szCs w:val="22"/>
        </w:rPr>
        <w:t xml:space="preserve">COMPLIANCE ACTIVATED: threshold = 40, rate = 9. Cost = max(0, (40 − sustainAxis) × 9). Players with low sustainability get hit.</w:t>
      </w:r>
    </w:p>
    <w:p>
      <w:pPr>
        <w:pStyle w:val="ListParagraph"/>
        <w:numPr>
          <w:ilvl w:val="0"/>
          <w:numId w:val="1"/>
        </w:numPr>
        <w:spacing w:after="60"/>
      </w:pPr>
      <w:r>
        <w:rPr>
          <w:rFonts w:ascii="Calibri" w:cs="Calibri" w:eastAsia="Calibri" w:hAnsi="Calibri"/>
          <w:color w:val="333333"/>
          <w:sz w:val="22"/>
          <w:szCs w:val="22"/>
        </w:rPr>
        <w:t xml:space="preserve">Segment shares at Q7: Urban Trend Seekers: 36.0%, Digital Value Shoppers: 37.2%, Conscious Premium: 8.0%, Extended-Size Shoppers: 18.8%.</w:t>
      </w:r>
    </w:p>
    <w:p>
      <w:pPr>
        <w:pStyle w:val="ListParagraph"/>
        <w:numPr>
          <w:ilvl w:val="0"/>
          <w:numId w:val="1"/>
        </w:numPr>
        <w:spacing w:after="60"/>
      </w:pPr>
      <w:r>
        <w:rPr>
          <w:rFonts w:ascii="Calibri" w:cs="Calibri" w:eastAsia="Calibri" w:hAnsi="Calibri"/>
          <w:color w:val="333333"/>
          <w:sz w:val="22"/>
          <w:szCs w:val="22"/>
        </w:rPr>
        <w:t xml:space="preserve">Total Addressable Market (TAM): 1,588M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Compliance Cost</w:t>
      </w:r>
    </w:p>
    <w:p>
      <w:pPr>
        <w:pStyle w:val="ListParagraph"/>
        <w:numPr>
          <w:ilvl w:val="0"/>
          <w:numId w:val="1"/>
        </w:numPr>
        <w:spacing w:after="60"/>
      </w:pPr>
      <w:r>
        <w:rPr>
          <w:rFonts w:ascii="Calibri" w:cs="Calibri" w:eastAsia="Calibri" w:hAnsi="Calibri"/>
          <w:color w:val="333333"/>
          <w:sz w:val="22"/>
          <w:szCs w:val="22"/>
        </w:rPr>
        <w:t xml:space="preserve">cost = max(0, (40 − sustainAxis) × 9). Example: sustainAxis = 25 → cost = €135M.</w:t>
      </w:r>
    </w:p>
    <w:p>
      <w:pPr>
        <w:spacing w:after="120" w:before="0"/>
      </w:pPr>
      <w:r>
        <w:rPr>
          <w:rFonts w:ascii="Calibri" w:cs="Calibri" w:eastAsia="Calibri" w:hAnsi="Calibri"/>
          <w:b/>
          <w:bCs/>
          <w:color w:val="0F2438"/>
          <w:sz w:val="22"/>
          <w:szCs w:val="22"/>
        </w:rPr>
        <w:t xml:space="preserve">8.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€2,600–7,500M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€−200–1,800M (compliance can go negative)</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Compliance cost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€0–360M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 axis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18–60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4–22%</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1,100–2,700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€0–6,000M</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Q7: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Q7: Verify compliance = max(0, (40 − sustainAxis) × 9). Should be 0 if sustainAxis ≥ 40.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COMPLIANCE ACTIVATION. The regulatory event is the most consequential single-quarter mechanic. Students who neglected sustainability now face real costs (up to €360M/quarter). The vertically integrated model has a compliance advantage — this is a testable insight.</w:t>
      </w:r>
    </w:p>
    <w:p>
      <w:r>
        <w:br w:type="page"/>
      </w:r>
    </w:p>
    <w:p>
      <w:pPr>
        <w:pStyle w:val="Heading1"/>
        <w:spacing w:after="120" w:before="360"/>
      </w:pPr>
      <w:r>
        <w:t xml:space="preserve">Quarter 8: Year Two Close</w:t>
      </w:r>
    </w:p>
    <w:p>
      <w:pPr>
        <w:spacing w:after="120" w:before="0"/>
      </w:pPr>
      <w:r>
        <w:rPr>
          <w:rFonts w:ascii="Calibri" w:cs="Calibri" w:eastAsia="Calibri" w:hAnsi="Calibri"/>
          <w:i/>
          <w:iCs/>
          <w:color w:val="6B7280"/>
          <w:sz w:val="22"/>
          <w:szCs w:val="22"/>
        </w:rPr>
        <w:t xml:space="preserve">Year 2 (2024) — Quarter 4 of Year 2</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Year two close. The case for European expansion is clear — but the model doesn't travel equally to all regions. Distance from Galicia is a cost, not just a map feature.</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Next unlock: Q9.</w:t>
      </w:r>
    </w:p>
    <w:p>
      <w:pPr>
        <w:pStyle w:val="ListParagraph"/>
        <w:numPr>
          <w:ilvl w:val="0"/>
          <w:numId w:val="1"/>
        </w:numPr>
        <w:spacing w:after="60"/>
      </w:pPr>
      <w:r>
        <w:rPr>
          <w:rFonts w:ascii="Calibri" w:cs="Calibri" w:eastAsia="Calibri" w:hAnsi="Calibri"/>
          <w:color w:val="333333"/>
          <w:sz w:val="22"/>
          <w:szCs w:val="22"/>
        </w:rPr>
        <w:t xml:space="preserve">COMPLIANCE ACTIVATED: threshold = 40, rate = 9. Cost = max(0, (40 − sustainAxis) × 9). Players with low sustainability get hit.</w:t>
      </w:r>
    </w:p>
    <w:p>
      <w:pPr>
        <w:pStyle w:val="ListParagraph"/>
        <w:numPr>
          <w:ilvl w:val="0"/>
          <w:numId w:val="1"/>
        </w:numPr>
        <w:spacing w:after="60"/>
      </w:pPr>
      <w:r>
        <w:rPr>
          <w:rFonts w:ascii="Calibri" w:cs="Calibri" w:eastAsia="Calibri" w:hAnsi="Calibri"/>
          <w:color w:val="333333"/>
          <w:sz w:val="22"/>
          <w:szCs w:val="22"/>
        </w:rPr>
        <w:t xml:space="preserve">YEAR-END REVIEW: This is a board review quarter. Players see full P&amp;L breakdown and cumulative performance.</w:t>
      </w:r>
    </w:p>
    <w:p>
      <w:pPr>
        <w:pStyle w:val="ListParagraph"/>
        <w:numPr>
          <w:ilvl w:val="0"/>
          <w:numId w:val="1"/>
        </w:numPr>
        <w:spacing w:after="60"/>
      </w:pPr>
      <w:r>
        <w:rPr>
          <w:rFonts w:ascii="Calibri" w:cs="Calibri" w:eastAsia="Calibri" w:hAnsi="Calibri"/>
          <w:color w:val="333333"/>
          <w:sz w:val="22"/>
          <w:szCs w:val="22"/>
        </w:rPr>
        <w:t xml:space="preserve">Segment shares at Q8: Urban Trend Seekers: 35.0%, Digital Value Shoppers: 38.4%, Conscious Premium: 8.5%, Extended-Size Shoppers: 18.1%.</w:t>
      </w:r>
    </w:p>
    <w:p>
      <w:pPr>
        <w:pStyle w:val="ListParagraph"/>
        <w:numPr>
          <w:ilvl w:val="0"/>
          <w:numId w:val="1"/>
        </w:numPr>
        <w:spacing w:after="60"/>
      </w:pPr>
      <w:r>
        <w:rPr>
          <w:rFonts w:ascii="Calibri" w:cs="Calibri" w:eastAsia="Calibri" w:hAnsi="Calibri"/>
          <w:color w:val="333333"/>
          <w:sz w:val="22"/>
          <w:szCs w:val="22"/>
        </w:rPr>
        <w:t xml:space="preserve">Total Addressable Market (TAM): 1,603M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Compliance Cost</w:t>
      </w:r>
    </w:p>
    <w:p>
      <w:pPr>
        <w:pStyle w:val="ListParagraph"/>
        <w:numPr>
          <w:ilvl w:val="0"/>
          <w:numId w:val="1"/>
        </w:numPr>
        <w:spacing w:after="60"/>
      </w:pPr>
      <w:r>
        <w:rPr>
          <w:rFonts w:ascii="Calibri" w:cs="Calibri" w:eastAsia="Calibri" w:hAnsi="Calibri"/>
          <w:color w:val="333333"/>
          <w:sz w:val="22"/>
          <w:szCs w:val="22"/>
        </w:rPr>
        <w:t xml:space="preserve">cost = max(0, (40 − sustainAxis) × 9). Example: sustainAxis = 25 → cost = €135M.</w:t>
      </w:r>
    </w:p>
    <w:p>
      <w:pPr>
        <w:spacing w:after="120" w:before="0"/>
      </w:pPr>
      <w:r>
        <w:rPr>
          <w:rFonts w:ascii="Calibri" w:cs="Calibri" w:eastAsia="Calibri" w:hAnsi="Calibri"/>
          <w:b/>
          <w:bCs/>
          <w:color w:val="0F2438"/>
          <w:sz w:val="22"/>
          <w:szCs w:val="22"/>
        </w:rPr>
        <w:t xml:space="preserve">8.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€2,400–8,000M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€−500–2,000M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Cumul. cash</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€2,000–10,000M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3–24%</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Replicability</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50–80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€0–8,000M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Compliance cost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€0–360M</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Q8: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Q8: Verify compliance = max(0, (40 − sustainAxis) × 9). Should be 0 if sustainAxis ≥ 40.</w:t>
      </w:r>
    </w:p>
    <w:p>
      <w:pPr>
        <w:pStyle w:val="ListParagraph"/>
        <w:numPr>
          <w:ilvl w:val="0"/>
          <w:numId w:val="1"/>
        </w:numPr>
        <w:spacing w:after="60"/>
      </w:pPr>
      <w:r>
        <w:rPr>
          <w:rFonts w:ascii="Calibri" w:cs="Calibri" w:eastAsia="Calibri" w:hAnsi="Calibri"/>
          <w:color w:val="333333"/>
          <w:sz w:val="22"/>
          <w:szCs w:val="22"/>
        </w:rPr>
        <w:t xml:space="preserve">Q8: Year-end — verify history array has 8 entries and cumulative cash is correct.</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Second year-end review. Distance from Galicia as a real cost — students confront why European expansion is easier than Americas/Asia. Entry mode choices from Q5 show their P&amp;L impact. The teaching note asks: did you choose depth or breadth?</w:t>
      </w:r>
    </w:p>
    <w:p>
      <w:r>
        <w:br w:type="page"/>
      </w:r>
    </w:p>
    <w:p>
      <w:pPr>
        <w:pStyle w:val="Heading1"/>
        <w:spacing w:after="120" w:before="360"/>
      </w:pPr>
      <w:r>
        <w:t xml:space="preserve">Quarter 9: Resale Eats the Second Wear</w:t>
      </w:r>
    </w:p>
    <w:p>
      <w:pPr>
        <w:spacing w:after="120" w:before="0"/>
      </w:pPr>
      <w:r>
        <w:rPr>
          <w:rFonts w:ascii="Calibri" w:cs="Calibri" w:eastAsia="Calibri" w:hAnsi="Calibri"/>
          <w:i/>
          <w:iCs/>
          <w:color w:val="6B7280"/>
          <w:sz w:val="22"/>
          <w:szCs w:val="22"/>
        </w:rPr>
        <w:t xml:space="preserve">Year 3 (2025) — Quarter 1 of Year 3</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Resale platforms take the second wear out of the market. A garment sold once now competes with itself. What does this mean for the scarcity model?</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UNLOCKED: Players can change entry mode (Own / JV / Franchise) for each region. Next unlock: QN/A (end of sim).</w:t>
      </w:r>
    </w:p>
    <w:p>
      <w:pPr>
        <w:pStyle w:val="ListParagraph"/>
        <w:numPr>
          <w:ilvl w:val="0"/>
          <w:numId w:val="1"/>
        </w:numPr>
        <w:spacing w:after="60"/>
      </w:pPr>
      <w:r>
        <w:rPr>
          <w:rFonts w:ascii="Calibri" w:cs="Calibri" w:eastAsia="Calibri" w:hAnsi="Calibri"/>
          <w:color w:val="333333"/>
          <w:sz w:val="22"/>
          <w:szCs w:val="22"/>
        </w:rPr>
        <w:t xml:space="preserve">COMPLIANCE ACTIVATED: threshold = 40, rate = 9. Cost = max(0, (40 − sustainAxis) × 9). Players with low sustainability get hit.</w:t>
      </w:r>
    </w:p>
    <w:p>
      <w:pPr>
        <w:pStyle w:val="ListParagraph"/>
        <w:numPr>
          <w:ilvl w:val="0"/>
          <w:numId w:val="1"/>
        </w:numPr>
        <w:spacing w:after="60"/>
      </w:pPr>
      <w:r>
        <w:rPr>
          <w:rFonts w:ascii="Calibri" w:cs="Calibri" w:eastAsia="Calibri" w:hAnsi="Calibri"/>
          <w:color w:val="333333"/>
          <w:sz w:val="22"/>
          <w:szCs w:val="22"/>
        </w:rPr>
        <w:t xml:space="preserve">Segment shares at Q9: Urban Trend Seekers: 34.0%, Digital Value Shoppers: 39.6%, Conscious Premium: 9.0%, Extended-Size Shoppers: 17.4%.</w:t>
      </w:r>
    </w:p>
    <w:p>
      <w:pPr>
        <w:pStyle w:val="ListParagraph"/>
        <w:numPr>
          <w:ilvl w:val="0"/>
          <w:numId w:val="1"/>
        </w:numPr>
        <w:spacing w:after="60"/>
      </w:pPr>
      <w:r>
        <w:rPr>
          <w:rFonts w:ascii="Calibri" w:cs="Calibri" w:eastAsia="Calibri" w:hAnsi="Calibri"/>
          <w:color w:val="333333"/>
          <w:sz w:val="22"/>
          <w:szCs w:val="22"/>
        </w:rPr>
        <w:t xml:space="preserve">Total Addressable Market (TAM): 1,618M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changeable this quarter (Own/JV/Franchise).</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Compliance Cost</w:t>
      </w:r>
    </w:p>
    <w:p>
      <w:pPr>
        <w:pStyle w:val="ListParagraph"/>
        <w:numPr>
          <w:ilvl w:val="0"/>
          <w:numId w:val="1"/>
        </w:numPr>
        <w:spacing w:after="60"/>
      </w:pPr>
      <w:r>
        <w:rPr>
          <w:rFonts w:ascii="Calibri" w:cs="Calibri" w:eastAsia="Calibri" w:hAnsi="Calibri"/>
          <w:color w:val="333333"/>
          <w:sz w:val="22"/>
          <w:szCs w:val="22"/>
        </w:rPr>
        <w:t xml:space="preserve">cost = max(0, (40 − sustainAxis) × 9). Example: sustainAxis = 25 → cost = €135M.</w:t>
      </w:r>
    </w:p>
    <w:p>
      <w:pPr>
        <w:spacing w:after="120" w:before="0"/>
      </w:pPr>
      <w:r>
        <w:rPr>
          <w:rFonts w:ascii="Calibri" w:cs="Calibri" w:eastAsia="Calibri" w:hAnsi="Calibri"/>
          <w:b/>
          <w:bCs/>
          <w:color w:val="0F2438"/>
          <w:sz w:val="22"/>
          <w:szCs w:val="22"/>
        </w:rPr>
        <w:t xml:space="preserve">8.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€2,200–9,000M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€−500–2,200M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3–26%</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axis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0–65</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40–90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1,000–3,000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€0–10,000M</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Q9: Verify entry mode selectors are ENABLED (unlocked quarter).</w:t>
      </w:r>
    </w:p>
    <w:p>
      <w:pPr>
        <w:pStyle w:val="ListParagraph"/>
        <w:numPr>
          <w:ilvl w:val="0"/>
          <w:numId w:val="1"/>
        </w:numPr>
        <w:spacing w:after="60"/>
      </w:pPr>
      <w:r>
        <w:rPr>
          <w:rFonts w:ascii="Calibri" w:cs="Calibri" w:eastAsia="Calibri" w:hAnsi="Calibri"/>
          <w:color w:val="333333"/>
          <w:sz w:val="22"/>
          <w:szCs w:val="22"/>
        </w:rPr>
        <w:t xml:space="preserve">Q9: Verify compliance = max(0, (40 − sustainAxis) × 9). Should be 0 if sustainAxis ≥ 40.</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Resale and the scarcity model under threat. The resale platform news challenges the "buy now, it won't be here" model. Students must decide whether scarcity is still viable or whether the world has moved on. Entry mode unlocks for the last time.</w:t>
      </w:r>
    </w:p>
    <w:p>
      <w:r>
        <w:br w:type="page"/>
      </w:r>
    </w:p>
    <w:p>
      <w:pPr>
        <w:pStyle w:val="Heading1"/>
        <w:spacing w:after="120" w:before="360"/>
      </w:pPr>
      <w:r>
        <w:t xml:space="preserve">Quarter 10: Mobile-First Asia</w:t>
      </w:r>
    </w:p>
    <w:p>
      <w:pPr>
        <w:spacing w:after="120" w:before="0"/>
      </w:pPr>
      <w:r>
        <w:rPr>
          <w:rFonts w:ascii="Calibri" w:cs="Calibri" w:eastAsia="Calibri" w:hAnsi="Calibri"/>
          <w:i/>
          <w:iCs/>
          <w:color w:val="6B7280"/>
          <w:sz w:val="22"/>
          <w:szCs w:val="22"/>
        </w:rPr>
        <w:t xml:space="preserve">Year 3 (2025) — Quarter 2 of Year 3</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Mobile commerce surges across Asia-Pacific — 11% annual growth. A new region opens. But Zara charges 70–100% more outside Europe. Can the model stretch?</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No more unlocks.</w:t>
      </w:r>
    </w:p>
    <w:p>
      <w:pPr>
        <w:pStyle w:val="ListParagraph"/>
        <w:numPr>
          <w:ilvl w:val="0"/>
          <w:numId w:val="1"/>
        </w:numPr>
        <w:spacing w:after="60"/>
      </w:pPr>
      <w:r>
        <w:rPr>
          <w:rFonts w:ascii="Calibri" w:cs="Calibri" w:eastAsia="Calibri" w:hAnsi="Calibri"/>
          <w:color w:val="333333"/>
          <w:sz w:val="22"/>
          <w:szCs w:val="22"/>
        </w:rPr>
        <w:t xml:space="preserve">COMPLIANCE (TIGHTENED): threshold = 55, rate = 14. Cost = max(0, (55 − sustainAxis) × 14). Sustainability below 55 is now very expensive.</w:t>
      </w:r>
    </w:p>
    <w:p>
      <w:pPr>
        <w:pStyle w:val="ListParagraph"/>
        <w:numPr>
          <w:ilvl w:val="0"/>
          <w:numId w:val="1"/>
        </w:numPr>
        <w:spacing w:after="60"/>
      </w:pPr>
      <w:r>
        <w:rPr>
          <w:rFonts w:ascii="Calibri" w:cs="Calibri" w:eastAsia="Calibri" w:hAnsi="Calibri"/>
          <w:color w:val="333333"/>
          <w:sz w:val="22"/>
          <w:szCs w:val="22"/>
        </w:rPr>
        <w:t xml:space="preserve">TAM ASIA BUMP: Total Addressable Market receives a 1.12× multiplier reflecting mobile-commerce surge in Asia-Pacific.</w:t>
      </w:r>
    </w:p>
    <w:p>
      <w:pPr>
        <w:pStyle w:val="ListParagraph"/>
        <w:numPr>
          <w:ilvl w:val="0"/>
          <w:numId w:val="1"/>
        </w:numPr>
        <w:spacing w:after="60"/>
      </w:pPr>
      <w:r>
        <w:rPr>
          <w:rFonts w:ascii="Calibri" w:cs="Calibri" w:eastAsia="Calibri" w:hAnsi="Calibri"/>
          <w:color w:val="333333"/>
          <w:sz w:val="22"/>
          <w:szCs w:val="22"/>
        </w:rPr>
        <w:t xml:space="preserve">Segment shares at Q10: Urban Trend Seekers: 33.0%, Digital Value Shoppers: 40.8%, Conscious Premium: 9.5%, Extended-Size Shoppers: 16.7%.</w:t>
      </w:r>
    </w:p>
    <w:p>
      <w:pPr>
        <w:pStyle w:val="ListParagraph"/>
        <w:numPr>
          <w:ilvl w:val="0"/>
          <w:numId w:val="1"/>
        </w:numPr>
        <w:spacing w:after="60"/>
      </w:pPr>
      <w:r>
        <w:rPr>
          <w:rFonts w:ascii="Calibri" w:cs="Calibri" w:eastAsia="Calibri" w:hAnsi="Calibri"/>
          <w:color w:val="333333"/>
          <w:sz w:val="22"/>
          <w:szCs w:val="22"/>
        </w:rPr>
        <w:t xml:space="preserve">Total Addressable Market (TAM): 1,829M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 × 1.12 (Asia bump)</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Compliance Cost</w:t>
      </w:r>
    </w:p>
    <w:p>
      <w:pPr>
        <w:pStyle w:val="ListParagraph"/>
        <w:numPr>
          <w:ilvl w:val="0"/>
          <w:numId w:val="1"/>
        </w:numPr>
        <w:spacing w:after="60"/>
      </w:pPr>
      <w:r>
        <w:rPr>
          <w:rFonts w:ascii="Calibri" w:cs="Calibri" w:eastAsia="Calibri" w:hAnsi="Calibri"/>
          <w:color w:val="333333"/>
          <w:sz w:val="22"/>
          <w:szCs w:val="22"/>
        </w:rPr>
        <w:t xml:space="preserve">cost = max(0, (55 − sustainAxis) × 14). Example: sustainAxis = 40 → cost = €210M.</w:t>
      </w:r>
    </w:p>
    <w:p>
      <w:pPr>
        <w:spacing w:after="120" w:before="0"/>
      </w:pPr>
      <w:r>
        <w:rPr>
          <w:rFonts w:ascii="Calibri" w:cs="Calibri" w:eastAsia="Calibri" w:hAnsi="Calibri"/>
          <w:b/>
          <w:bCs/>
          <w:color w:val="0F2438"/>
          <w:sz w:val="22"/>
          <w:szCs w:val="22"/>
        </w:rPr>
        <w:t xml:space="preserve">8.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€2,000–10,000M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€−1,000–2,500M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Compliance cost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€0–770M (tightened)</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TAM</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1,829M (with Asia bump)</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 axis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15–75</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€0–12,000M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900–3,000</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Q10: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Q10: Verify compliance = max(0, (55 − sustainAxis) × 14). Tightened threshold.</w:t>
      </w:r>
    </w:p>
    <w:p>
      <w:pPr>
        <w:pStyle w:val="ListParagraph"/>
        <w:numPr>
          <w:ilvl w:val="0"/>
          <w:numId w:val="1"/>
        </w:numPr>
        <w:spacing w:after="60"/>
      </w:pPr>
      <w:r>
        <w:rPr>
          <w:rFonts w:ascii="Calibri" w:cs="Calibri" w:eastAsia="Calibri" w:hAnsi="Calibri"/>
          <w:color w:val="333333"/>
          <w:sz w:val="22"/>
          <w:szCs w:val="22"/>
        </w:rPr>
        <w:t xml:space="preserve">Q10: Verify TAM includes 1.12× Asia-Pacific bump.</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 × 1.12.</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Asia-Pacific opens with a TAM bump (1.12×) and the compliance threshold tightens (55, rate 14). Dual pressure: the opportunity is in Asia but the cost of low sustainability is now severe. Mobile-first markets reward digital investment.</w:t>
      </w:r>
    </w:p>
    <w:p>
      <w:r>
        <w:br w:type="page"/>
      </w:r>
    </w:p>
    <w:p>
      <w:pPr>
        <w:pStyle w:val="Heading1"/>
        <w:spacing w:after="120" w:before="360"/>
      </w:pPr>
      <w:r>
        <w:t xml:space="preserve">Quarter 11: The Board Wants a Position</w:t>
      </w:r>
    </w:p>
    <w:p>
      <w:pPr>
        <w:spacing w:after="120" w:before="0"/>
      </w:pPr>
      <w:r>
        <w:rPr>
          <w:rFonts w:ascii="Calibri" w:cs="Calibri" w:eastAsia="Calibri" w:hAnsi="Calibri"/>
          <w:i/>
          <w:iCs/>
          <w:color w:val="6B7280"/>
          <w:sz w:val="22"/>
          <w:szCs w:val="22"/>
        </w:rPr>
        <w:t xml:space="preserve">Year 3 (2025) — Quarter 3 of Year 3</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The board asks directly: which blocks of this business model are load-bearing, and which are adaptable? One year left.</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No more unlocks.</w:t>
      </w:r>
    </w:p>
    <w:p>
      <w:pPr>
        <w:pStyle w:val="ListParagraph"/>
        <w:numPr>
          <w:ilvl w:val="0"/>
          <w:numId w:val="1"/>
        </w:numPr>
        <w:spacing w:after="60"/>
      </w:pPr>
      <w:r>
        <w:rPr>
          <w:rFonts w:ascii="Calibri" w:cs="Calibri" w:eastAsia="Calibri" w:hAnsi="Calibri"/>
          <w:color w:val="333333"/>
          <w:sz w:val="22"/>
          <w:szCs w:val="22"/>
        </w:rPr>
        <w:t xml:space="preserve">COMPLIANCE (TIGHTENED): threshold = 55, rate = 14. Cost = max(0, (55 − sustainAxis) × 14). Sustainability below 55 is now very expensive.</w:t>
      </w:r>
    </w:p>
    <w:p>
      <w:pPr>
        <w:pStyle w:val="ListParagraph"/>
        <w:numPr>
          <w:ilvl w:val="0"/>
          <w:numId w:val="1"/>
        </w:numPr>
        <w:spacing w:after="60"/>
      </w:pPr>
      <w:r>
        <w:rPr>
          <w:rFonts w:ascii="Calibri" w:cs="Calibri" w:eastAsia="Calibri" w:hAnsi="Calibri"/>
          <w:color w:val="333333"/>
          <w:sz w:val="22"/>
          <w:szCs w:val="22"/>
        </w:rPr>
        <w:t xml:space="preserve">TAM ASIA BUMP: Total Addressable Market receives a 1.12× multiplier reflecting mobile-commerce surge in Asia-Pacific.</w:t>
      </w:r>
    </w:p>
    <w:p>
      <w:pPr>
        <w:pStyle w:val="ListParagraph"/>
        <w:numPr>
          <w:ilvl w:val="0"/>
          <w:numId w:val="1"/>
        </w:numPr>
        <w:spacing w:after="60"/>
      </w:pPr>
      <w:r>
        <w:rPr>
          <w:rFonts w:ascii="Calibri" w:cs="Calibri" w:eastAsia="Calibri" w:hAnsi="Calibri"/>
          <w:color w:val="333333"/>
          <w:sz w:val="22"/>
          <w:szCs w:val="22"/>
        </w:rPr>
        <w:t xml:space="preserve">Segment shares at Q11: Urban Trend Seekers: 32.0%, Digital Value Shoppers: 42.0%, Conscious Premium: 10.0%, Extended-Size Shoppers: 16.0%.</w:t>
      </w:r>
    </w:p>
    <w:p>
      <w:pPr>
        <w:pStyle w:val="ListParagraph"/>
        <w:numPr>
          <w:ilvl w:val="0"/>
          <w:numId w:val="1"/>
        </w:numPr>
        <w:spacing w:after="60"/>
      </w:pPr>
      <w:r>
        <w:rPr>
          <w:rFonts w:ascii="Calibri" w:cs="Calibri" w:eastAsia="Calibri" w:hAnsi="Calibri"/>
          <w:color w:val="333333"/>
          <w:sz w:val="22"/>
          <w:szCs w:val="22"/>
        </w:rPr>
        <w:t xml:space="preserve">Total Addressable Market (TAM): 1,847M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 × 1.12 (Asia bump)</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Compliance Cost</w:t>
      </w:r>
    </w:p>
    <w:p>
      <w:pPr>
        <w:pStyle w:val="ListParagraph"/>
        <w:numPr>
          <w:ilvl w:val="0"/>
          <w:numId w:val="1"/>
        </w:numPr>
        <w:spacing w:after="60"/>
      </w:pPr>
      <w:r>
        <w:rPr>
          <w:rFonts w:ascii="Calibri" w:cs="Calibri" w:eastAsia="Calibri" w:hAnsi="Calibri"/>
          <w:color w:val="333333"/>
          <w:sz w:val="22"/>
          <w:szCs w:val="22"/>
        </w:rPr>
        <w:t xml:space="preserve">cost = max(0, (55 − sustainAxis) × 14). Example: sustainAxis = 40 → cost = €210M.</w:t>
      </w:r>
    </w:p>
    <w:p>
      <w:pPr>
        <w:spacing w:after="120" w:before="0"/>
      </w:pPr>
      <w:r>
        <w:rPr>
          <w:rFonts w:ascii="Calibri" w:cs="Calibri" w:eastAsia="Calibri" w:hAnsi="Calibri"/>
          <w:b/>
          <w:bCs/>
          <w:color w:val="0F2438"/>
          <w:sz w:val="22"/>
          <w:szCs w:val="22"/>
        </w:rPr>
        <w:t xml:space="preserve">8.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€1,800–11,000M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€−1,000–2,800M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2–30%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All axes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Widely divergent by strategy</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Replicability</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50–90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€0–14,000M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Compliance cost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€0–770M</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Q11: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Q11: Verify compliance = max(0, (55 − sustainAxis) × 14). Tightened threshold.</w:t>
      </w:r>
    </w:p>
    <w:p>
      <w:pPr>
        <w:pStyle w:val="ListParagraph"/>
        <w:numPr>
          <w:ilvl w:val="0"/>
          <w:numId w:val="1"/>
        </w:numPr>
        <w:spacing w:after="60"/>
      </w:pPr>
      <w:r>
        <w:rPr>
          <w:rFonts w:ascii="Calibri" w:cs="Calibri" w:eastAsia="Calibri" w:hAnsi="Calibri"/>
          <w:color w:val="333333"/>
          <w:sz w:val="22"/>
          <w:szCs w:val="22"/>
        </w:rPr>
        <w:t xml:space="preserve">Q11: Verify TAM includes 1.12× Asia-Pacific bump.</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 × 1.12.</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Board pressure on defensibility. "Which blocks are load-bearing and which are adaptable?" This is the replicability question. Students see their barrier-to-imitation score and must articulate which of the 6 barriers they relied on. One quarter left to optimize.</w:t>
      </w:r>
    </w:p>
    <w:p>
      <w:r>
        <w:br w:type="page"/>
      </w:r>
    </w:p>
    <w:p>
      <w:pPr>
        <w:pStyle w:val="Heading1"/>
        <w:spacing w:after="120" w:before="360"/>
      </w:pPr>
      <w:r>
        <w:t xml:space="preserve">Quarter 12: Year-End Close</w:t>
      </w:r>
    </w:p>
    <w:p>
      <w:pPr>
        <w:spacing w:after="120" w:before="0"/>
      </w:pPr>
      <w:r>
        <w:rPr>
          <w:rFonts w:ascii="Calibri" w:cs="Calibri" w:eastAsia="Calibri" w:hAnsi="Calibri"/>
          <w:i/>
          <w:iCs/>
          <w:color w:val="6B7280"/>
          <w:sz w:val="22"/>
          <w:szCs w:val="22"/>
        </w:rPr>
        <w:t xml:space="preserve">Year 3 (2025) — Quarter 4 of Year 3</w:t>
      </w:r>
    </w:p>
    <w:p>
      <w:pPr>
        <w:pStyle w:val="Heading2"/>
        <w:spacing w:after="120" w:before="200"/>
      </w:pPr>
      <w:r>
        <w:t xml:space="preserve">News Event</w:t>
      </w:r>
    </w:p>
    <w:p>
      <w:pPr>
        <w:spacing w:after="120" w:before="0"/>
      </w:pPr>
      <w:r>
        <w:rPr>
          <w:rFonts w:ascii="Calibri" w:cs="Calibri" w:eastAsia="Calibri" w:hAnsi="Calibri"/>
          <w:color w:val="333333"/>
          <w:sz w:val="22"/>
          <w:szCs w:val="22"/>
        </w:rPr>
        <w:t xml:space="preserve">Final quarter. Twelve quarters of choices about the model, the regions, and the niche. What gets read out: did you understand the system well enough to change it without breaking it?</w:t>
      </w:r>
    </w:p>
    <w:p>
      <w:pPr>
        <w:pStyle w:val="Heading2"/>
        <w:spacing w:after="120" w:before="200"/>
      </w:pPr>
      <w:r>
        <w:t xml:space="preserve">Special Mechanics This Quarter</w:t>
      </w:r>
    </w:p>
    <w:p>
      <w:pPr>
        <w:pStyle w:val="ListParagraph"/>
        <w:numPr>
          <w:ilvl w:val="0"/>
          <w:numId w:val="1"/>
        </w:numPr>
        <w:spacing w:after="60"/>
      </w:pPr>
      <w:r>
        <w:rPr>
          <w:rFonts w:ascii="Calibri" w:cs="Calibri" w:eastAsia="Calibri" w:hAnsi="Calibri"/>
          <w:color w:val="333333"/>
          <w:sz w:val="22"/>
          <w:szCs w:val="22"/>
        </w:rPr>
        <w:t xml:space="preserve">Entry mode LOCKED this quarter. Current modes carry forward. No more unlocks.</w:t>
      </w:r>
    </w:p>
    <w:p>
      <w:pPr>
        <w:pStyle w:val="ListParagraph"/>
        <w:numPr>
          <w:ilvl w:val="0"/>
          <w:numId w:val="1"/>
        </w:numPr>
        <w:spacing w:after="60"/>
      </w:pPr>
      <w:r>
        <w:rPr>
          <w:rFonts w:ascii="Calibri" w:cs="Calibri" w:eastAsia="Calibri" w:hAnsi="Calibri"/>
          <w:color w:val="333333"/>
          <w:sz w:val="22"/>
          <w:szCs w:val="22"/>
        </w:rPr>
        <w:t xml:space="preserve">COMPLIANCE (TIGHTENED): threshold = 55, rate = 14. Cost = max(0, (55 − sustainAxis) × 14). Sustainability below 55 is now very expensive.</w:t>
      </w:r>
    </w:p>
    <w:p>
      <w:pPr>
        <w:pStyle w:val="ListParagraph"/>
        <w:numPr>
          <w:ilvl w:val="0"/>
          <w:numId w:val="1"/>
        </w:numPr>
        <w:spacing w:after="60"/>
      </w:pPr>
      <w:r>
        <w:rPr>
          <w:rFonts w:ascii="Calibri" w:cs="Calibri" w:eastAsia="Calibri" w:hAnsi="Calibri"/>
          <w:color w:val="333333"/>
          <w:sz w:val="22"/>
          <w:szCs w:val="22"/>
        </w:rPr>
        <w:t xml:space="preserve">TAM ASIA BUMP: Total Addressable Market receives a 1.12× multiplier reflecting mobile-commerce surge in Asia-Pacific.</w:t>
      </w:r>
    </w:p>
    <w:p>
      <w:pPr>
        <w:pStyle w:val="ListParagraph"/>
        <w:numPr>
          <w:ilvl w:val="0"/>
          <w:numId w:val="1"/>
        </w:numPr>
        <w:spacing w:after="60"/>
      </w:pPr>
      <w:r>
        <w:rPr>
          <w:rFonts w:ascii="Calibri" w:cs="Calibri" w:eastAsia="Calibri" w:hAnsi="Calibri"/>
          <w:color w:val="333333"/>
          <w:sz w:val="22"/>
          <w:szCs w:val="22"/>
        </w:rPr>
        <w:t xml:space="preserve">FINAL QUARTER: After resolution, final score is calculated across 6 dimensions. Debrief discussion follows.</w:t>
      </w:r>
    </w:p>
    <w:p>
      <w:pPr>
        <w:pStyle w:val="ListParagraph"/>
        <w:numPr>
          <w:ilvl w:val="0"/>
          <w:numId w:val="1"/>
        </w:numPr>
        <w:spacing w:after="60"/>
      </w:pPr>
      <w:r>
        <w:rPr>
          <w:rFonts w:ascii="Calibri" w:cs="Calibri" w:eastAsia="Calibri" w:hAnsi="Calibri"/>
          <w:color w:val="333333"/>
          <w:sz w:val="22"/>
          <w:szCs w:val="22"/>
        </w:rPr>
        <w:t xml:space="preserve">Segment shares at Q12: Urban Trend Seekers: 31.0%, Digital Value Shoppers: 43.2%, Conscious Premium: 10.5%, Extended-Size Shoppers: 15.3%.</w:t>
      </w:r>
    </w:p>
    <w:p>
      <w:pPr>
        <w:pStyle w:val="ListParagraph"/>
        <w:numPr>
          <w:ilvl w:val="0"/>
          <w:numId w:val="1"/>
        </w:numPr>
        <w:spacing w:after="60"/>
      </w:pPr>
      <w:r>
        <w:rPr>
          <w:rFonts w:ascii="Calibri" w:cs="Calibri" w:eastAsia="Calibri" w:hAnsi="Calibri"/>
          <w:color w:val="333333"/>
          <w:sz w:val="22"/>
          <w:szCs w:val="22"/>
        </w:rPr>
        <w:t xml:space="preserve">Total Addressable Market (TAM): 1,864M garments.</w:t>
      </w:r>
    </w:p>
    <w:p>
      <w:pPr>
        <w:pStyle w:val="Heading2"/>
        <w:spacing w:after="120" w:before="200"/>
      </w:pPr>
      <w:r>
        <w:t xml:space="preserve">Decisions Available</w:t>
      </w:r>
    </w:p>
    <w:p>
      <w:pPr>
        <w:spacing w:after="120" w:before="0"/>
      </w:pPr>
      <w:r>
        <w:rPr>
          <w:rFonts w:ascii="Calibri" w:cs="Calibri" w:eastAsia="Calibri" w:hAnsi="Calibri"/>
          <w:b/>
          <w:bCs/>
          <w:color w:val="0F2438"/>
          <w:sz w:val="22"/>
          <w:szCs w:val="22"/>
        </w:rPr>
        <w:t xml:space="preserve">All quarters offer the same decision set. Key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Store change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−250 to +120 per quarter. Capex: open = €2.5M/store, close = €1.2M/store. Total stores clamped to [200, 3000].</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Speed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speedAxis = clamp(speedAxis − 3 + (speedInvest/34) × insightEff × (fx.speedEfficiency/1.4), 20, 98). Decay: −3/q.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AI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0–300 (€M). Axis update: aiAxis = clamp(aiAxis + aiInvest/34, 0, 98). No decay.</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Sustainability invest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0–400 (€M). Axis update: sustainAxis = clamp(sustainAxis − 2 + sustainInvest/40, 0, 95). Decay: −2/q.</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Digital invest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0–350 (€M). Axis update: digitalAxis = clamp(digitalAxis − 1.5 + digitalInvest/32, 10, 98). Decay: −1.5/q.</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Marketing</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0–500 (€M). Feeds traffic multiplier. Ad penalty if below 50% of needed spend.</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Replenishment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0–100 (%). Higher = more restocking, fewer visits, higher markdown.</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Product lines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Core (always on), Digital-Exclusive, Conscious, Extended Sizes — toggle on/off, set price within floor–ceiling.</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BM blocks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9 toggleable blocks (Quick Response is always on). Cascade effects recalculate every quarter.</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Regions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Spain (home, always active), Europe, Middle East, Americas, Asia-Pacific. Set stores per region. Entry mode locked this quarter.</w:t>
            </w:r>
          </w:p>
        </w:tc>
      </w:tr>
    </w:tbl>
    <w:p>
      <w:pPr>
        <w:pStyle w:val="Heading2"/>
        <w:spacing w:after="120" w:before="200"/>
      </w:pPr>
      <w:r>
        <w:t xml:space="preserve">Formulas Executed This Quarter</w:t>
      </w:r>
    </w:p>
    <w:p>
      <w:pPr>
        <w:spacing w:after="120" w:before="0"/>
      </w:pPr>
      <w:r>
        <w:rPr>
          <w:rFonts w:ascii="Calibri" w:cs="Calibri" w:eastAsia="Calibri" w:hAnsi="Calibri"/>
          <w:b/>
          <w:bCs/>
          <w:color w:val="0F2438"/>
          <w:sz w:val="22"/>
          <w:szCs w:val="22"/>
        </w:rPr>
        <w:t xml:space="preserve">1. Axis Updates (run first)</w:t>
      </w:r>
    </w:p>
    <w:p>
      <w:pPr>
        <w:pStyle w:val="ListParagraph"/>
        <w:numPr>
          <w:ilvl w:val="0"/>
          <w:numId w:val="1"/>
        </w:numPr>
        <w:spacing w:after="60"/>
      </w:pPr>
      <w:r>
        <w:rPr>
          <w:rFonts w:ascii="Calibri" w:cs="Calibri" w:eastAsia="Calibri" w:hAnsi="Calibri"/>
          <w:color w:val="333333"/>
          <w:sz w:val="22"/>
          <w:szCs w:val="22"/>
        </w:rPr>
        <w:t xml:space="preserve">speedAxis = clamp(speed − 3 + (speedInvest/34) × insightEff × (fx.speedEfficiency/1.4), 20, 98)</w:t>
      </w:r>
    </w:p>
    <w:p>
      <w:pPr>
        <w:pStyle w:val="ListParagraph"/>
        <w:numPr>
          <w:ilvl w:val="0"/>
          <w:numId w:val="1"/>
        </w:numPr>
        <w:spacing w:after="60"/>
      </w:pPr>
      <w:r>
        <w:rPr>
          <w:rFonts w:ascii="Calibri" w:cs="Calibri" w:eastAsia="Calibri" w:hAnsi="Calibri"/>
          <w:color w:val="333333"/>
          <w:sz w:val="22"/>
          <w:szCs w:val="22"/>
        </w:rPr>
        <w:t xml:space="preserve">sustainAxis = clamp(sustain − 2 + sustainInvest/40, 0, 95)</w:t>
      </w:r>
    </w:p>
    <w:p>
      <w:pPr>
        <w:pStyle w:val="ListParagraph"/>
        <w:numPr>
          <w:ilvl w:val="0"/>
          <w:numId w:val="1"/>
        </w:numPr>
        <w:spacing w:after="60"/>
      </w:pPr>
      <w:r>
        <w:rPr>
          <w:rFonts w:ascii="Calibri" w:cs="Calibri" w:eastAsia="Calibri" w:hAnsi="Calibri"/>
          <w:color w:val="333333"/>
          <w:sz w:val="22"/>
          <w:szCs w:val="22"/>
        </w:rPr>
        <w:t xml:space="preserve">digitalAxis = clamp(digital − 1.5 + digitalInvest/32, 10, 98)</w:t>
      </w:r>
    </w:p>
    <w:p>
      <w:pPr>
        <w:pStyle w:val="ListParagraph"/>
        <w:numPr>
          <w:ilvl w:val="0"/>
          <w:numId w:val="1"/>
        </w:numPr>
        <w:spacing w:after="60"/>
      </w:pPr>
      <w:r>
        <w:rPr>
          <w:rFonts w:ascii="Calibri" w:cs="Calibri" w:eastAsia="Calibri" w:hAnsi="Calibri"/>
          <w:color w:val="333333"/>
          <w:sz w:val="22"/>
          <w:szCs w:val="22"/>
        </w:rPr>
        <w:t xml:space="preserve">aiAxis = clamp(aiAxis + aiInvest/34, 0, 98)</w:t>
      </w:r>
    </w:p>
    <w:p>
      <w:pPr>
        <w:spacing w:after="120" w:before="0"/>
      </w:pPr>
      <w:r>
        <w:rPr>
          <w:rFonts w:ascii="Calibri" w:cs="Calibri" w:eastAsia="Calibri" w:hAnsi="Calibri"/>
          <w:b/>
          <w:bCs/>
          <w:color w:val="0F2438"/>
          <w:sz w:val="22"/>
          <w:szCs w:val="22"/>
        </w:rPr>
        <w:t xml:space="preserve">2. Rival Evolution</w:t>
      </w:r>
    </w:p>
    <w:p>
      <w:pPr>
        <w:pStyle w:val="ListParagraph"/>
        <w:numPr>
          <w:ilvl w:val="0"/>
          <w:numId w:val="1"/>
        </w:numPr>
        <w:spacing w:after="60"/>
      </w:pPr>
      <w:r>
        <w:rPr>
          <w:rFonts w:ascii="Calibri" w:cs="Calibri" w:eastAsia="Calibri" w:hAnsi="Calibri"/>
          <w:color w:val="333333"/>
          <w:sz w:val="22"/>
          <w:szCs w:val="22"/>
        </w:rPr>
        <w:t xml:space="preserve">Each rival axis moves 10% toward its target: axis += (target − axis) × 0.10</w:t>
      </w:r>
    </w:p>
    <w:p>
      <w:pPr>
        <w:pStyle w:val="ListParagraph"/>
        <w:numPr>
          <w:ilvl w:val="0"/>
          <w:numId w:val="1"/>
        </w:numPr>
        <w:spacing w:after="60"/>
      </w:pPr>
      <w:r>
        <w:rPr>
          <w:rFonts w:ascii="Calibri" w:cs="Calibri" w:eastAsia="Calibri" w:hAnsi="Calibri"/>
          <w:color w:val="333333"/>
          <w:sz w:val="22"/>
          <w:szCs w:val="22"/>
        </w:rPr>
        <w:t xml:space="preserve">Rival prices move 8% toward target: price += (target − price) × 0.08</w:t>
      </w:r>
    </w:p>
    <w:p>
      <w:pPr>
        <w:spacing w:after="120" w:before="0"/>
      </w:pPr>
      <w:r>
        <w:rPr>
          <w:rFonts w:ascii="Calibri" w:cs="Calibri" w:eastAsia="Calibri" w:hAnsi="Calibri"/>
          <w:b/>
          <w:bCs/>
          <w:color w:val="0F2438"/>
          <w:sz w:val="22"/>
          <w:szCs w:val="22"/>
        </w:rPr>
        <w:t xml:space="preserve">3. Market Resolution</w:t>
      </w:r>
    </w:p>
    <w:p>
      <w:pPr>
        <w:pStyle w:val="ListParagraph"/>
        <w:numPr>
          <w:ilvl w:val="0"/>
          <w:numId w:val="1"/>
        </w:numPr>
        <w:spacing w:after="60"/>
      </w:pPr>
      <w:r>
        <w:rPr>
          <w:rFonts w:ascii="Calibri" w:cs="Calibri" w:eastAsia="Calibri" w:hAnsi="Calibri"/>
          <w:color w:val="333333"/>
          <w:sz w:val="22"/>
          <w:szCs w:val="22"/>
        </w:rPr>
        <w:t xml:space="preserve">TAM = 1500 × (1.0095)^(q−1) × 1.12 (Asia bump)</w:t>
      </w:r>
    </w:p>
    <w:p>
      <w:pPr>
        <w:pStyle w:val="ListParagraph"/>
        <w:numPr>
          <w:ilvl w:val="0"/>
          <w:numId w:val="1"/>
        </w:numPr>
        <w:spacing w:after="60"/>
      </w:pPr>
      <w:r>
        <w:rPr>
          <w:rFonts w:ascii="Calibri" w:cs="Calibri" w:eastAsia="Calibri" w:hAnsi="Calibri"/>
          <w:color w:val="333333"/>
          <w:sz w:val="22"/>
          <w:szCs w:val="22"/>
        </w:rPr>
        <w:t xml:space="preserve">Segment TAM = TAM × segmentShare(q), where segmentShare = share0 + drift × (q−1)</w:t>
      </w:r>
    </w:p>
    <w:p>
      <w:pPr>
        <w:pStyle w:val="ListParagraph"/>
        <w:numPr>
          <w:ilvl w:val="0"/>
          <w:numId w:val="1"/>
        </w:numPr>
        <w:spacing w:after="60"/>
      </w:pPr>
      <w:r>
        <w:rPr>
          <w:rFonts w:ascii="Calibri" w:cs="Calibri" w:eastAsia="Calibri" w:hAnsi="Calibri"/>
          <w:color w:val="333333"/>
          <w:sz w:val="22"/>
          <w:szCs w:val="22"/>
        </w:rPr>
        <w:t xml:space="preserve">fit = Σ(axis_score × segment_weight) / 100</w:t>
      </w:r>
    </w:p>
    <w:p>
      <w:pPr>
        <w:pStyle w:val="ListParagraph"/>
        <w:numPr>
          <w:ilvl w:val="0"/>
          <w:numId w:val="1"/>
        </w:numPr>
        <w:spacing w:after="60"/>
      </w:pPr>
      <w:r>
        <w:rPr>
          <w:rFonts w:ascii="Calibri" w:cs="Calibri" w:eastAsia="Calibri" w:hAnsi="Calibri"/>
          <w:color w:val="333333"/>
          <w:sz w:val="22"/>
          <w:szCs w:val="22"/>
        </w:rPr>
        <w:t xml:space="preserve">pull = fit^2.6 (MCI Share Model, exponent = 2.6)</w:t>
      </w:r>
    </w:p>
    <w:p>
      <w:pPr>
        <w:pStyle w:val="ListParagraph"/>
        <w:numPr>
          <w:ilvl w:val="0"/>
          <w:numId w:val="1"/>
        </w:numPr>
        <w:spacing w:after="60"/>
      </w:pPr>
      <w:r>
        <w:rPr>
          <w:rFonts w:ascii="Calibri" w:cs="Calibri" w:eastAsia="Calibri" w:hAnsi="Calibri"/>
          <w:color w:val="333333"/>
          <w:sz w:val="22"/>
          <w:szCs w:val="22"/>
        </w:rPr>
        <w:t xml:space="preserve">share = yourPull / (yourPull + ΣrivalPulls)</w:t>
      </w:r>
    </w:p>
    <w:p>
      <w:pPr>
        <w:pStyle w:val="ListParagraph"/>
        <w:numPr>
          <w:ilvl w:val="0"/>
          <w:numId w:val="1"/>
        </w:numPr>
        <w:spacing w:after="60"/>
      </w:pPr>
      <w:r>
        <w:rPr>
          <w:rFonts w:ascii="Calibri" w:cs="Calibri" w:eastAsia="Calibri" w:hAnsi="Calibri"/>
          <w:color w:val="333333"/>
          <w:sz w:val="22"/>
          <w:szCs w:val="22"/>
        </w:rPr>
        <w:t xml:space="preserve">demand = segTAM × share × trafficMultiplier</w:t>
      </w:r>
    </w:p>
    <w:p>
      <w:pPr>
        <w:spacing w:after="120" w:before="0"/>
      </w:pPr>
      <w:r>
        <w:rPr>
          <w:rFonts w:ascii="Calibri" w:cs="Calibri" w:eastAsia="Calibri" w:hAnsi="Calibri"/>
          <w:b/>
          <w:bCs/>
          <w:color w:val="0F2438"/>
          <w:sz w:val="22"/>
          <w:szCs w:val="22"/>
        </w:rPr>
        <w:t xml:space="preserve">4. Capacity &amp; Rationing</w:t>
      </w:r>
    </w:p>
    <w:p>
      <w:pPr>
        <w:pStyle w:val="ListParagraph"/>
        <w:numPr>
          <w:ilvl w:val="0"/>
          <w:numId w:val="1"/>
        </w:numPr>
        <w:spacing w:after="60"/>
      </w:pPr>
      <w:r>
        <w:rPr>
          <w:rFonts w:ascii="Calibri" w:cs="Calibri" w:eastAsia="Calibri" w:hAnsi="Calibri"/>
          <w:color w:val="333333"/>
          <w:sz w:val="22"/>
          <w:szCs w:val="22"/>
        </w:rPr>
        <w:t xml:space="preserve">capacity = (stores × 0.042 + (digitalAxis/100) × 190 + speedInvest × 0.30) × fx.capacityMult</w:t>
      </w:r>
    </w:p>
    <w:p>
      <w:pPr>
        <w:pStyle w:val="ListParagraph"/>
        <w:numPr>
          <w:ilvl w:val="0"/>
          <w:numId w:val="1"/>
        </w:numPr>
        <w:spacing w:after="60"/>
      </w:pPr>
      <w:r>
        <w:rPr>
          <w:rFonts w:ascii="Calibri" w:cs="Calibri" w:eastAsia="Calibri" w:hAnsi="Calibri"/>
          <w:color w:val="333333"/>
          <w:sz w:val="22"/>
          <w:szCs w:val="22"/>
        </w:rPr>
        <w:t xml:space="preserve">If demand &gt; capacity: fill = capacity / demand, units are rationed</w:t>
      </w:r>
    </w:p>
    <w:p>
      <w:pPr>
        <w:spacing w:after="120" w:before="0"/>
      </w:pPr>
      <w:r>
        <w:rPr>
          <w:rFonts w:ascii="Calibri" w:cs="Calibri" w:eastAsia="Calibri" w:hAnsi="Calibri"/>
          <w:b/>
          <w:bCs/>
          <w:color w:val="0F2438"/>
          <w:sz w:val="22"/>
          <w:szCs w:val="22"/>
        </w:rPr>
        <w:t xml:space="preserve">5. P&amp;L Computation</w:t>
      </w:r>
    </w:p>
    <w:p>
      <w:pPr>
        <w:pStyle w:val="ListParagraph"/>
        <w:numPr>
          <w:ilvl w:val="0"/>
          <w:numId w:val="1"/>
        </w:numPr>
        <w:spacing w:after="60"/>
      </w:pPr>
      <w:r>
        <w:rPr>
          <w:rFonts w:ascii="Calibri" w:cs="Calibri" w:eastAsia="Calibri" w:hAnsi="Calibri"/>
          <w:color w:val="333333"/>
          <w:sz w:val="22"/>
          <w:szCs w:val="22"/>
        </w:rPr>
        <w:t xml:space="preserve">realizedPrice = price × (1 − markdown% × 0.40)</w:t>
      </w:r>
    </w:p>
    <w:p>
      <w:pPr>
        <w:pStyle w:val="ListParagraph"/>
        <w:numPr>
          <w:ilvl w:val="0"/>
          <w:numId w:val="1"/>
        </w:numPr>
        <w:spacing w:after="60"/>
      </w:pPr>
      <w:r>
        <w:rPr>
          <w:rFonts w:ascii="Calibri" w:cs="Calibri" w:eastAsia="Calibri" w:hAnsi="Calibri"/>
          <w:color w:val="333333"/>
          <w:sz w:val="22"/>
          <w:szCs w:val="22"/>
        </w:rPr>
        <w:t xml:space="preserve">COGS/unit = cogsBase × fx.cogsModifier × (1 + sustain/100 × 0.35) × (1 + speed/100 × 0.20)</w:t>
      </w:r>
    </w:p>
    <w:p>
      <w:pPr>
        <w:pStyle w:val="ListParagraph"/>
        <w:numPr>
          <w:ilvl w:val="0"/>
          <w:numId w:val="1"/>
        </w:numPr>
        <w:spacing w:after="60"/>
      </w:pPr>
      <w:r>
        <w:rPr>
          <w:rFonts w:ascii="Calibri" w:cs="Calibri" w:eastAsia="Calibri" w:hAnsi="Calibri"/>
          <w:color w:val="333333"/>
          <w:sz w:val="22"/>
          <w:szCs w:val="22"/>
        </w:rPr>
        <w:t xml:space="preserve">selling = units × (realizedPrice × 0.17 + 1.0)</w:t>
      </w:r>
    </w:p>
    <w:p>
      <w:pPr>
        <w:pStyle w:val="ListParagraph"/>
        <w:numPr>
          <w:ilvl w:val="0"/>
          <w:numId w:val="1"/>
        </w:numPr>
        <w:spacing w:after="60"/>
      </w:pPr>
      <w:r>
        <w:rPr>
          <w:rFonts w:ascii="Calibri" w:cs="Calibri" w:eastAsia="Calibri" w:hAnsi="Calibri"/>
          <w:color w:val="333333"/>
          <w:sz w:val="22"/>
          <w:szCs w:val="22"/>
        </w:rPr>
        <w:t xml:space="preserve">opex = selling + storeCost + corpOverhead(300) + lineOverhead + investments + marketing + compliance + estateCapex</w:t>
      </w:r>
    </w:p>
    <w:p>
      <w:pPr>
        <w:pStyle w:val="ListParagraph"/>
        <w:numPr>
          <w:ilvl w:val="0"/>
          <w:numId w:val="1"/>
        </w:numPr>
        <w:spacing w:after="60"/>
      </w:pPr>
      <w:r>
        <w:rPr>
          <w:rFonts w:ascii="Calibri" w:cs="Calibri" w:eastAsia="Calibri" w:hAnsi="Calibri"/>
          <w:color w:val="333333"/>
          <w:sz w:val="22"/>
          <w:szCs w:val="22"/>
        </w:rPr>
        <w:t xml:space="preserve">homeProfit = revenue − COGS − opex</w:t>
      </w:r>
    </w:p>
    <w:p>
      <w:pPr>
        <w:spacing w:after="120" w:before="0"/>
      </w:pPr>
      <w:r>
        <w:rPr>
          <w:rFonts w:ascii="Calibri" w:cs="Calibri" w:eastAsia="Calibri" w:hAnsi="Calibri"/>
          <w:b/>
          <w:bCs/>
          <w:color w:val="0F2438"/>
          <w:sz w:val="22"/>
          <w:szCs w:val="22"/>
        </w:rPr>
        <w:t xml:space="preserve">6. Globalization Revenue</w:t>
      </w:r>
    </w:p>
    <w:p>
      <w:pPr>
        <w:pStyle w:val="ListParagraph"/>
        <w:numPr>
          <w:ilvl w:val="0"/>
          <w:numId w:val="1"/>
        </w:numPr>
        <w:spacing w:after="60"/>
      </w:pPr>
      <w:r>
        <w:rPr>
          <w:rFonts w:ascii="Calibri" w:cs="Calibri" w:eastAsia="Calibri" w:hAnsi="Calibri"/>
          <w:color w:val="333333"/>
          <w:sz w:val="22"/>
          <w:szCs w:val="22"/>
        </w:rPr>
        <w:t xml:space="preserve">storeWeight = regionStores / totalStores</w:t>
      </w:r>
    </w:p>
    <w:p>
      <w:pPr>
        <w:pStyle w:val="ListParagraph"/>
        <w:numPr>
          <w:ilvl w:val="0"/>
          <w:numId w:val="1"/>
        </w:numPr>
        <w:spacing w:after="60"/>
      </w:pPr>
      <w:r>
        <w:rPr>
          <w:rFonts w:ascii="Calibri" w:cs="Calibri" w:eastAsia="Calibri" w:hAnsi="Calibri"/>
          <w:color w:val="333333"/>
          <w:sz w:val="22"/>
          <w:szCs w:val="22"/>
        </w:rPr>
        <w:t xml:space="preserve">demandShare = baseDemandShare × storeWeight × (franchise ? 0.7 : 1.0)</w:t>
      </w:r>
    </w:p>
    <w:p>
      <w:pPr>
        <w:pStyle w:val="ListParagraph"/>
        <w:numPr>
          <w:ilvl w:val="0"/>
          <w:numId w:val="1"/>
        </w:numPr>
        <w:spacing w:after="60"/>
      </w:pPr>
      <w:r>
        <w:rPr>
          <w:rFonts w:ascii="Calibri" w:cs="Calibri" w:eastAsia="Calibri" w:hAnsi="Calibri"/>
          <w:color w:val="333333"/>
          <w:sz w:val="22"/>
          <w:szCs w:val="22"/>
        </w:rPr>
        <w:t xml:space="preserve">regionRevenue = baseRevenue × demandShare × (1 + pricePremium)</w:t>
      </w:r>
    </w:p>
    <w:p>
      <w:pPr>
        <w:pStyle w:val="ListParagraph"/>
        <w:numPr>
          <w:ilvl w:val="0"/>
          <w:numId w:val="1"/>
        </w:numPr>
        <w:spacing w:after="60"/>
      </w:pPr>
      <w:r>
        <w:rPr>
          <w:rFonts w:ascii="Calibri" w:cs="Calibri" w:eastAsia="Calibri" w:hAnsi="Calibri"/>
          <w:color w:val="333333"/>
          <w:sz w:val="22"/>
          <w:szCs w:val="22"/>
        </w:rPr>
        <w:t xml:space="preserve">marginCapture: own = 100%, jv = 50%, franchise = 8%</w:t>
      </w:r>
    </w:p>
    <w:p>
      <w:pPr>
        <w:pStyle w:val="ListParagraph"/>
        <w:numPr>
          <w:ilvl w:val="0"/>
          <w:numId w:val="1"/>
        </w:numPr>
        <w:spacing w:after="60"/>
      </w:pPr>
      <w:r>
        <w:rPr>
          <w:rFonts w:ascii="Calibri" w:cs="Calibri" w:eastAsia="Calibri" w:hAnsi="Calibri"/>
          <w:color w:val="333333"/>
          <w:sz w:val="22"/>
          <w:szCs w:val="22"/>
        </w:rPr>
        <w:t xml:space="preserve">regionProfit = (rev − cost) × marginCapture</w:t>
      </w:r>
    </w:p>
    <w:p>
      <w:pPr>
        <w:spacing w:after="120" w:before="0"/>
      </w:pPr>
      <w:r>
        <w:rPr>
          <w:rFonts w:ascii="Calibri" w:cs="Calibri" w:eastAsia="Calibri" w:hAnsi="Calibri"/>
          <w:b/>
          <w:bCs/>
          <w:color w:val="0F2438"/>
          <w:sz w:val="22"/>
          <w:szCs w:val="22"/>
        </w:rPr>
        <w:t xml:space="preserve">7. Compliance Cost</w:t>
      </w:r>
    </w:p>
    <w:p>
      <w:pPr>
        <w:pStyle w:val="ListParagraph"/>
        <w:numPr>
          <w:ilvl w:val="0"/>
          <w:numId w:val="1"/>
        </w:numPr>
        <w:spacing w:after="60"/>
      </w:pPr>
      <w:r>
        <w:rPr>
          <w:rFonts w:ascii="Calibri" w:cs="Calibri" w:eastAsia="Calibri" w:hAnsi="Calibri"/>
          <w:color w:val="333333"/>
          <w:sz w:val="22"/>
          <w:szCs w:val="22"/>
        </w:rPr>
        <w:t xml:space="preserve">cost = max(0, (55 − sustainAxis) × 14). Example: sustainAxis = 40 → cost = €210M.</w:t>
      </w:r>
    </w:p>
    <w:p>
      <w:pPr>
        <w:spacing w:after="120" w:before="0"/>
      </w:pPr>
      <w:r>
        <w:rPr>
          <w:rFonts w:ascii="Calibri" w:cs="Calibri" w:eastAsia="Calibri" w:hAnsi="Calibri"/>
          <w:b/>
          <w:bCs/>
          <w:color w:val="0F2438"/>
          <w:sz w:val="22"/>
          <w:szCs w:val="22"/>
        </w:rPr>
        <w:t xml:space="preserve">8. Replicability Score (updated every quarter)</w:t>
      </w:r>
    </w:p>
    <w:p>
      <w:pPr>
        <w:pStyle w:val="ListParagraph"/>
        <w:numPr>
          <w:ilvl w:val="0"/>
          <w:numId w:val="1"/>
        </w:numPr>
        <w:spacing w:after="60"/>
      </w:pPr>
      <w:r>
        <w:rPr>
          <w:rFonts w:ascii="Calibri" w:cs="Calibri" w:eastAsia="Calibri" w:hAnsi="Calibri"/>
          <w:color w:val="333333"/>
          <w:sz w:val="22"/>
          <w:szCs w:val="22"/>
        </w:rPr>
        <w:t xml:space="preserve">scale = clamp((stores/500) × 100, 0, 100) × 20%</w:t>
      </w:r>
    </w:p>
    <w:p>
      <w:pPr>
        <w:pStyle w:val="ListParagraph"/>
        <w:numPr>
          <w:ilvl w:val="0"/>
          <w:numId w:val="1"/>
        </w:numPr>
        <w:spacing w:after="60"/>
      </w:pPr>
      <w:r>
        <w:rPr>
          <w:rFonts w:ascii="Calibri" w:cs="Calibri" w:eastAsia="Calibri" w:hAnsi="Calibri"/>
          <w:color w:val="333333"/>
          <w:sz w:val="22"/>
          <w:szCs w:val="22"/>
        </w:rPr>
        <w:t xml:space="preserve">inputs = (localSourcing ON ? 70 : 30) × 10%</w:t>
      </w:r>
    </w:p>
    <w:p>
      <w:pPr>
        <w:pStyle w:val="ListParagraph"/>
        <w:numPr>
          <w:ilvl w:val="0"/>
          <w:numId w:val="1"/>
        </w:numPr>
        <w:spacing w:after="60"/>
      </w:pPr>
      <w:r>
        <w:rPr>
          <w:rFonts w:ascii="Calibri" w:cs="Calibri" w:eastAsia="Calibri" w:hAnsi="Calibri"/>
          <w:color w:val="333333"/>
          <w:sz w:val="22"/>
          <w:szCs w:val="22"/>
        </w:rPr>
        <w:t xml:space="preserve">learning = clamp(45 + quarter × 4 + (aiAxis/100) × 20, 0, 100) × 20%</w:t>
      </w:r>
    </w:p>
    <w:p>
      <w:pPr>
        <w:pStyle w:val="ListParagraph"/>
        <w:numPr>
          <w:ilvl w:val="0"/>
          <w:numId w:val="1"/>
        </w:numPr>
        <w:spacing w:after="60"/>
      </w:pPr>
      <w:r>
        <w:rPr>
          <w:rFonts w:ascii="Calibri" w:cs="Calibri" w:eastAsia="Calibri" w:hAnsi="Calibri"/>
          <w:color w:val="333333"/>
          <w:sz w:val="22"/>
          <w:szCs w:val="22"/>
        </w:rPr>
        <w:t xml:space="preserve">complexity = (blocksOn/totalBlocks) × 100 × 25%</w:t>
      </w:r>
    </w:p>
    <w:p>
      <w:pPr>
        <w:pStyle w:val="ListParagraph"/>
        <w:numPr>
          <w:ilvl w:val="0"/>
          <w:numId w:val="1"/>
        </w:numPr>
        <w:spacing w:after="60"/>
      </w:pPr>
      <w:r>
        <w:rPr>
          <w:rFonts w:ascii="Calibri" w:cs="Calibri" w:eastAsia="Calibri" w:hAnsi="Calibri"/>
          <w:color w:val="333333"/>
          <w:sz w:val="22"/>
          <w:szCs w:val="22"/>
        </w:rPr>
        <w:t xml:space="preserve">mindsets = (scarcity AND noAd ? 80 : 35) × 10%</w:t>
      </w:r>
    </w:p>
    <w:p>
      <w:pPr>
        <w:pStyle w:val="ListParagraph"/>
        <w:numPr>
          <w:ilvl w:val="0"/>
          <w:numId w:val="1"/>
        </w:numPr>
        <w:spacing w:after="60"/>
      </w:pPr>
      <w:r>
        <w:rPr>
          <w:rFonts w:ascii="Calibri" w:cs="Calibri" w:eastAsia="Calibri" w:hAnsi="Calibri"/>
          <w:color w:val="333333"/>
          <w:sz w:val="22"/>
          <w:szCs w:val="22"/>
        </w:rPr>
        <w:t xml:space="preserve">timing = clamp(activeRegions × 15 + share × 2, 0, 100) × 15%</w:t>
      </w:r>
    </w:p>
    <w:p>
      <w:pPr>
        <w:pStyle w:val="Heading2"/>
        <w:spacing w:after="120" w:before="200"/>
      </w:pPr>
      <w:r>
        <w:t xml:space="preserve">Expected State Ranges</w:t>
      </w:r>
    </w:p>
    <w:p>
      <w:pPr>
        <w:spacing w:after="120" w:before="0"/>
      </w:pPr>
      <w:r>
        <w:rPr>
          <w:rFonts w:ascii="Calibri" w:cs="Calibri" w:eastAsia="Calibri" w:hAnsi="Calibri"/>
          <w:i/>
          <w:iCs/>
          <w:color w:val="6B7280"/>
          <w:sz w:val="22"/>
          <w:szCs w:val="22"/>
        </w:rPr>
        <w:t xml:space="preserve">These are approximate ranges for a "reasonable" play. Wide variance is expected based on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€1,500–12,000M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Profit</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€−1,500–3,000M</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Cumul. cash</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€−3,000–25,000M</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Final score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15–95 / 100</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Market share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2–32%</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Replicability</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50–95</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 revenue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€0–15,000M</w:t>
            </w:r>
          </w:p>
        </w:tc>
      </w:tr>
    </w:tbl>
    <w:p>
      <w:pPr>
        <w:pStyle w:val="Heading2"/>
        <w:spacing w:after="120" w:before="200"/>
      </w:pPr>
      <w:r>
        <w:t xml:space="preserve">Developer Validation Checklist</w:t>
      </w:r>
    </w:p>
    <w:p>
      <w:pPr>
        <w:pStyle w:val="ListParagraph"/>
        <w:numPr>
          <w:ilvl w:val="0"/>
          <w:numId w:val="1"/>
        </w:numPr>
        <w:spacing w:after="60"/>
      </w:pPr>
      <w:r>
        <w:rPr>
          <w:rFonts w:ascii="Calibri" w:cs="Calibri" w:eastAsia="Calibri" w:hAnsi="Calibri"/>
          <w:color w:val="333333"/>
          <w:sz w:val="22"/>
          <w:szCs w:val="22"/>
        </w:rPr>
        <w:t xml:space="preserve">Q12: Verify entry mode selectors are DISABLED (locked quarter).</w:t>
      </w:r>
    </w:p>
    <w:p>
      <w:pPr>
        <w:pStyle w:val="ListParagraph"/>
        <w:numPr>
          <w:ilvl w:val="0"/>
          <w:numId w:val="1"/>
        </w:numPr>
        <w:spacing w:after="60"/>
      </w:pPr>
      <w:r>
        <w:rPr>
          <w:rFonts w:ascii="Calibri" w:cs="Calibri" w:eastAsia="Calibri" w:hAnsi="Calibri"/>
          <w:color w:val="333333"/>
          <w:sz w:val="22"/>
          <w:szCs w:val="22"/>
        </w:rPr>
        <w:t xml:space="preserve">Q12: Verify compliance = max(0, (55 − sustainAxis) × 14). Tightened threshold.</w:t>
      </w:r>
    </w:p>
    <w:p>
      <w:pPr>
        <w:pStyle w:val="ListParagraph"/>
        <w:numPr>
          <w:ilvl w:val="0"/>
          <w:numId w:val="1"/>
        </w:numPr>
        <w:spacing w:after="60"/>
      </w:pPr>
      <w:r>
        <w:rPr>
          <w:rFonts w:ascii="Calibri" w:cs="Calibri" w:eastAsia="Calibri" w:hAnsi="Calibri"/>
          <w:color w:val="333333"/>
          <w:sz w:val="22"/>
          <w:szCs w:val="22"/>
        </w:rPr>
        <w:t xml:space="preserve">Q12: Verify TAM includes 1.12× Asia-Pacific bump.</w:t>
      </w:r>
    </w:p>
    <w:p>
      <w:pPr>
        <w:pStyle w:val="ListParagraph"/>
        <w:numPr>
          <w:ilvl w:val="0"/>
          <w:numId w:val="1"/>
        </w:numPr>
        <w:spacing w:after="60"/>
      </w:pPr>
      <w:r>
        <w:rPr>
          <w:rFonts w:ascii="Calibri" w:cs="Calibri" w:eastAsia="Calibri" w:hAnsi="Calibri"/>
          <w:color w:val="333333"/>
          <w:sz w:val="22"/>
          <w:szCs w:val="22"/>
        </w:rPr>
        <w:t xml:space="preserve">Q12: Year-end — verify history array has 12 entries and cumulative cash is correct.</w:t>
      </w:r>
    </w:p>
    <w:p>
      <w:pPr>
        <w:pStyle w:val="ListParagraph"/>
        <w:numPr>
          <w:ilvl w:val="0"/>
          <w:numId w:val="1"/>
        </w:numPr>
        <w:spacing w:after="60"/>
      </w:pPr>
      <w:r>
        <w:rPr>
          <w:rFonts w:ascii="Calibri" w:cs="Calibri" w:eastAsia="Calibri" w:hAnsi="Calibri"/>
          <w:color w:val="333333"/>
          <w:sz w:val="22"/>
          <w:szCs w:val="22"/>
        </w:rPr>
        <w:t xml:space="preserve">Q12: Verify final scoring: Financial(20) + Niche(20) + Markdown(15) + Future(10) + Globalization(20) + Replicability(15) = 100 max.</w:t>
      </w:r>
    </w:p>
    <w:p>
      <w:pPr>
        <w:pStyle w:val="ListParagraph"/>
        <w:numPr>
          <w:ilvl w:val="0"/>
          <w:numId w:val="1"/>
        </w:numPr>
        <w:spacing w:after="60"/>
      </w:pPr>
      <w:r>
        <w:rPr>
          <w:rFonts w:ascii="Calibri" w:cs="Calibri" w:eastAsia="Calibri" w:hAnsi="Calibri"/>
          <w:color w:val="333333"/>
          <w:sz w:val="22"/>
          <w:szCs w:val="22"/>
        </w:rPr>
        <w:t xml:space="preserve">Q12: Verify grade thresholds: A+ ≥ 88, A ≥ 78, B+ ≥ 68, B ≥ 58, C ≥ 48, D &lt; 48.</w:t>
      </w:r>
    </w:p>
    <w:p>
      <w:pPr>
        <w:pStyle w:val="ListParagraph"/>
        <w:numPr>
          <w:ilvl w:val="0"/>
          <w:numId w:val="1"/>
        </w:numPr>
        <w:spacing w:after="60"/>
      </w:pPr>
      <w:r>
        <w:rPr>
          <w:rFonts w:ascii="Calibri" w:cs="Calibri" w:eastAsia="Calibri" w:hAnsi="Calibri"/>
          <w:color w:val="333333"/>
          <w:sz w:val="22"/>
          <w:szCs w:val="22"/>
        </w:rPr>
        <w:t xml:space="preserve">Q12: Verify debrief prompts render for all 3 sections.</w:t>
      </w:r>
    </w:p>
    <w:p>
      <w:pPr>
        <w:pStyle w:val="ListParagraph"/>
        <w:numPr>
          <w:ilvl w:val="0"/>
          <w:numId w:val="1"/>
        </w:numPr>
        <w:spacing w:after="60"/>
      </w:pPr>
      <w:r>
        <w:rPr>
          <w:rFonts w:ascii="Calibri" w:cs="Calibri" w:eastAsia="Calibri" w:hAnsi="Calibri"/>
          <w:color w:val="333333"/>
          <w:sz w:val="22"/>
          <w:szCs w:val="22"/>
        </w:rPr>
        <w:t xml:space="preserve">Verify stores clamped to [200, 3000] after storeChange applied.</w:t>
      </w:r>
    </w:p>
    <w:p>
      <w:pPr>
        <w:pStyle w:val="ListParagraph"/>
        <w:numPr>
          <w:ilvl w:val="0"/>
          <w:numId w:val="1"/>
        </w:numPr>
        <w:spacing w:after="60"/>
      </w:pPr>
      <w:r>
        <w:rPr>
          <w:rFonts w:ascii="Calibri" w:cs="Calibri" w:eastAsia="Calibri" w:hAnsi="Calibri"/>
          <w:color w:val="333333"/>
          <w:sz w:val="22"/>
          <w:szCs w:val="22"/>
        </w:rPr>
        <w:t xml:space="preserve">Verify all axes clamped to their respective bounds after update.</w:t>
      </w:r>
    </w:p>
    <w:p>
      <w:pPr>
        <w:pStyle w:val="ListParagraph"/>
        <w:numPr>
          <w:ilvl w:val="0"/>
          <w:numId w:val="1"/>
        </w:numPr>
        <w:spacing w:after="60"/>
      </w:pPr>
      <w:r>
        <w:rPr>
          <w:rFonts w:ascii="Calibri" w:cs="Calibri" w:eastAsia="Calibri" w:hAnsi="Calibri"/>
          <w:color w:val="333333"/>
          <w:sz w:val="22"/>
          <w:szCs w:val="22"/>
        </w:rPr>
        <w:t xml:space="preserve">Verify rival axes moved exactly 10% toward targets.</w:t>
      </w:r>
    </w:p>
    <w:p>
      <w:pPr>
        <w:pStyle w:val="ListParagraph"/>
        <w:numPr>
          <w:ilvl w:val="0"/>
          <w:numId w:val="1"/>
        </w:numPr>
        <w:spacing w:after="60"/>
      </w:pPr>
      <w:r>
        <w:rPr>
          <w:rFonts w:ascii="Calibri" w:cs="Calibri" w:eastAsia="Calibri" w:hAnsi="Calibri"/>
          <w:color w:val="333333"/>
          <w:sz w:val="22"/>
          <w:szCs w:val="22"/>
        </w:rPr>
        <w:t xml:space="preserve">Verify TAM = 1500 × (1.0095)^(q−1) × 1.12.</w:t>
      </w:r>
    </w:p>
    <w:p>
      <w:pPr>
        <w:pStyle w:val="ListParagraph"/>
        <w:numPr>
          <w:ilvl w:val="0"/>
          <w:numId w:val="1"/>
        </w:numPr>
        <w:spacing w:after="60"/>
      </w:pPr>
      <w:r>
        <w:rPr>
          <w:rFonts w:ascii="Calibri" w:cs="Calibri" w:eastAsia="Calibri" w:hAnsi="Calibri"/>
          <w:color w:val="333333"/>
          <w:sz w:val="22"/>
          <w:szCs w:val="22"/>
        </w:rPr>
        <w:t xml:space="preserve">Verify MCI share: pull = fit^2.6, share = yourPull / totalPull.</w:t>
      </w:r>
    </w:p>
    <w:p>
      <w:pPr>
        <w:pStyle w:val="ListParagraph"/>
        <w:numPr>
          <w:ilvl w:val="0"/>
          <w:numId w:val="1"/>
        </w:numPr>
        <w:spacing w:after="60"/>
      </w:pPr>
      <w:r>
        <w:rPr>
          <w:rFonts w:ascii="Calibri" w:cs="Calibri" w:eastAsia="Calibri" w:hAnsi="Calibri"/>
          <w:color w:val="333333"/>
          <w:sz w:val="22"/>
          <w:szCs w:val="22"/>
        </w:rPr>
        <w:t xml:space="preserve">Verify capacity formula: (stores × 0.042 + (digital/100) × 190 + speedInvest × 0.30) × capacityMult.</w:t>
      </w:r>
    </w:p>
    <w:p>
      <w:pPr>
        <w:pStyle w:val="ListParagraph"/>
        <w:numPr>
          <w:ilvl w:val="0"/>
          <w:numId w:val="1"/>
        </w:numPr>
        <w:spacing w:after="60"/>
      </w:pPr>
      <w:r>
        <w:rPr>
          <w:rFonts w:ascii="Calibri" w:cs="Calibri" w:eastAsia="Calibri" w:hAnsi="Calibri"/>
          <w:color w:val="333333"/>
          <w:sz w:val="22"/>
          <w:szCs w:val="22"/>
        </w:rPr>
        <w:t xml:space="preserve">Verify markdown: clamp(38 − speed × 0.22 − ai × 0.14 + (repl − 40) × 0.12 + markdownPenalty, floor, 50).</w:t>
      </w:r>
    </w:p>
    <w:p>
      <w:pPr>
        <w:pStyle w:val="ListParagraph"/>
        <w:numPr>
          <w:ilvl w:val="0"/>
          <w:numId w:val="1"/>
        </w:numPr>
        <w:spacing w:after="60"/>
      </w:pPr>
      <w:r>
        <w:rPr>
          <w:rFonts w:ascii="Calibri" w:cs="Calibri" w:eastAsia="Calibri" w:hAnsi="Calibri"/>
          <w:color w:val="333333"/>
          <w:sz w:val="22"/>
          <w:szCs w:val="22"/>
        </w:rPr>
        <w:t xml:space="preserve">Verify replicability score updates with current state.</w:t>
      </w:r>
    </w:p>
    <w:p>
      <w:pPr>
        <w:pStyle w:val="Heading2"/>
        <w:spacing w:after="120" w:before="200"/>
      </w:pPr>
      <w:r>
        <w:t xml:space="preserve">Teaching Objective</w:t>
      </w:r>
    </w:p>
    <w:p>
      <w:pPr>
        <w:spacing w:after="120" w:before="0"/>
      </w:pPr>
      <w:r>
        <w:rPr>
          <w:rFonts w:ascii="Calibri" w:cs="Calibri" w:eastAsia="Calibri" w:hAnsi="Calibri"/>
          <w:color w:val="333333"/>
          <w:sz w:val="22"/>
          <w:szCs w:val="22"/>
        </w:rPr>
        <w:t xml:space="preserve">Final resolution and scoring. The 6-dimension score (Financial 20, Niche 20, Markdown 15, Future 10, Globalization 20, Replicability 15) tests whether the student understood the system. Debrief discussion covers: (1) the business model you changed, (2) globalization choices, (3) replicability and sustainability.</w:t>
      </w:r>
    </w:p>
    <w:p>
      <w:pPr>
        <w:pStyle w:val="Heading1"/>
        <w:spacing w:after="120" w:before="360"/>
      </w:pPr>
      <w:r>
        <w:t xml:space="preserve">Post-Game: Final Scoring (after Q12)</w:t>
      </w:r>
    </w:p>
    <w:p>
      <w:pPr>
        <w:spacing w:after="120" w:before="0"/>
      </w:pPr>
      <w:r>
        <w:rPr>
          <w:rFonts w:ascii="Calibri" w:cs="Calibri" w:eastAsia="Calibri" w:hAnsi="Calibri"/>
          <w:color w:val="333333"/>
          <w:sz w:val="22"/>
          <w:szCs w:val="22"/>
        </w:rPr>
        <w:t xml:space="preserve">After Q12 resolves, the engine computes a final score across 6 dimensions: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Financial (20 pts)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norm(cumulativeCash, −6000, 30000) × 20/100. Rewards profitable management across all 12 quarters.</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Niche dominance (20 pts)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norm(bestSegDominance, 0.85, 2.6) × 20/100. Dominance = yourShare / topRivalShare in best segment.</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Markdown control (15 pts)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norm(28 − markdown, 0, 18) × 15/100. Lower markdown = better. Industry avg is 35%; Zara starts at 16.5%.</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Future-fitness (10 pts)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norm(avg(sustain, digital, ai), 20, 80) × 10/100. Are you positioned for the next decade?</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Globalization (20 pts)</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norm(globalRevenue, 0, 15000) × 20/100. Revenue from non-home regions.</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Replicability (15 pts)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norm(replicabilityTotal, 20, 90) × 15/100. How hard is your model to copy?</w:t>
            </w:r>
          </w:p>
        </w:tc>
      </w:tr>
    </w:tbl>
    <w:p>
      <w:pPr>
        <w:spacing w:before="200"/>
      </w:pPr>
    </w:p>
    <w:p>
      <w:pPr>
        <w:spacing w:after="120" w:before="0"/>
      </w:pPr>
      <w:r>
        <w:rPr>
          <w:rFonts w:ascii="Calibri" w:cs="Calibri" w:eastAsia="Calibri" w:hAnsi="Calibri"/>
          <w:b/>
          <w:bCs/>
          <w:color w:val="0F2438"/>
          <w:sz w:val="22"/>
          <w:szCs w:val="22"/>
        </w:rPr>
        <w:t xml:space="preserve">Grade thresholds:</w:t>
      </w:r>
    </w:p>
    <w:p>
      <w:pPr>
        <w:pStyle w:val="ListParagraph"/>
        <w:numPr>
          <w:ilvl w:val="0"/>
          <w:numId w:val="1"/>
        </w:numPr>
        <w:spacing w:after="60"/>
      </w:pPr>
      <w:r>
        <w:rPr>
          <w:rFonts w:ascii="Calibri" w:cs="Calibri" w:eastAsia="Calibri" w:hAnsi="Calibri"/>
          <w:color w:val="333333"/>
          <w:sz w:val="22"/>
          <w:szCs w:val="22"/>
        </w:rPr>
        <w:t xml:space="preserve">A+ (≥ 88): "A model understood, adapted, expanded — and hard to copy"</w:t>
      </w:r>
    </w:p>
    <w:p>
      <w:pPr>
        <w:pStyle w:val="ListParagraph"/>
        <w:numPr>
          <w:ilvl w:val="0"/>
          <w:numId w:val="1"/>
        </w:numPr>
        <w:spacing w:after="60"/>
      </w:pPr>
      <w:r>
        <w:rPr>
          <w:rFonts w:ascii="Calibri" w:cs="Calibri" w:eastAsia="Calibri" w:hAnsi="Calibri"/>
          <w:color w:val="333333"/>
          <w:sz w:val="22"/>
          <w:szCs w:val="22"/>
        </w:rPr>
        <w:t xml:space="preserve">A (≥ 78): "You saw the interlinkages and built around them"</w:t>
      </w:r>
    </w:p>
    <w:p>
      <w:pPr>
        <w:pStyle w:val="ListParagraph"/>
        <w:numPr>
          <w:ilvl w:val="0"/>
          <w:numId w:val="1"/>
        </w:numPr>
        <w:spacing w:after="60"/>
      </w:pPr>
      <w:r>
        <w:rPr>
          <w:rFonts w:ascii="Calibri" w:cs="Calibri" w:eastAsia="Calibri" w:hAnsi="Calibri"/>
          <w:color w:val="333333"/>
          <w:sz w:val="22"/>
          <w:szCs w:val="22"/>
        </w:rPr>
        <w:t xml:space="preserve">B+ (≥ 68): "Good understanding of the model, some expansion gaps"</w:t>
      </w:r>
    </w:p>
    <w:p>
      <w:pPr>
        <w:pStyle w:val="ListParagraph"/>
        <w:numPr>
          <w:ilvl w:val="0"/>
          <w:numId w:val="1"/>
        </w:numPr>
        <w:spacing w:after="60"/>
      </w:pPr>
      <w:r>
        <w:rPr>
          <w:rFonts w:ascii="Calibri" w:cs="Calibri" w:eastAsia="Calibri" w:hAnsi="Calibri"/>
          <w:color w:val="333333"/>
          <w:sz w:val="22"/>
          <w:szCs w:val="22"/>
        </w:rPr>
        <w:t xml:space="preserve">B (≥ 58): "Competent stewardship, limited globalization"</w:t>
      </w:r>
    </w:p>
    <w:p>
      <w:pPr>
        <w:pStyle w:val="ListParagraph"/>
        <w:numPr>
          <w:ilvl w:val="0"/>
          <w:numId w:val="1"/>
        </w:numPr>
        <w:spacing w:after="60"/>
      </w:pPr>
      <w:r>
        <w:rPr>
          <w:rFonts w:ascii="Calibri" w:cs="Calibri" w:eastAsia="Calibri" w:hAnsi="Calibri"/>
          <w:color w:val="333333"/>
          <w:sz w:val="22"/>
          <w:szCs w:val="22"/>
        </w:rPr>
        <w:t xml:space="preserve">C (≥ 48): "Model defended but not adapted or expanded"</w:t>
      </w:r>
    </w:p>
    <w:p>
      <w:pPr>
        <w:pStyle w:val="ListParagraph"/>
        <w:numPr>
          <w:ilvl w:val="0"/>
          <w:numId w:val="1"/>
        </w:numPr>
        <w:spacing w:after="60"/>
      </w:pPr>
      <w:r>
        <w:rPr>
          <w:rFonts w:ascii="Calibri" w:cs="Calibri" w:eastAsia="Calibri" w:hAnsi="Calibri"/>
          <w:color w:val="333333"/>
          <w:sz w:val="22"/>
          <w:szCs w:val="22"/>
        </w:rPr>
        <w:t xml:space="preserve">D (&lt; 48): "The model was changed without understanding the cascades"</w:t>
      </w:r>
    </w:p>
    <w:p>
      <w:pPr>
        <w:spacing w:before="200"/>
      </w:pPr>
    </w:p>
    <w:p>
      <w:pPr>
        <w:pStyle w:val="Heading2"/>
        <w:spacing w:after="120" w:before="200"/>
      </w:pPr>
      <w:r>
        <w:t xml:space="preserve">Debrief Discussion Prompts</w:t>
      </w:r>
    </w:p>
    <w:p>
      <w:pPr>
        <w:spacing w:after="120" w:before="0"/>
      </w:pPr>
      <w:r>
        <w:rPr>
          <w:rFonts w:ascii="Calibri" w:cs="Calibri" w:eastAsia="Calibri" w:hAnsi="Calibri"/>
          <w:b/>
          <w:bCs/>
          <w:color w:val="0F2438"/>
          <w:sz w:val="22"/>
          <w:szCs w:val="22"/>
        </w:rPr>
        <w:t xml:space="preserve">Section 1: The Business Model You Changed</w:t>
      </w:r>
    </w:p>
    <w:p>
      <w:pPr>
        <w:pStyle w:val="ListParagraph"/>
        <w:numPr>
          <w:ilvl w:val="0"/>
          <w:numId w:val="1"/>
        </w:numPr>
        <w:spacing w:after="60"/>
      </w:pPr>
      <w:r>
        <w:rPr>
          <w:rFonts w:ascii="Calibri" w:cs="Calibri" w:eastAsia="Calibri" w:hAnsi="Calibri"/>
          <w:color w:val="333333"/>
          <w:sz w:val="22"/>
          <w:szCs w:val="22"/>
        </w:rPr>
        <w:t xml:space="preserve">Which block of the original model did you change first, and what cascaded from that?</w:t>
      </w:r>
    </w:p>
    <w:p>
      <w:pPr>
        <w:pStyle w:val="ListParagraph"/>
        <w:numPr>
          <w:ilvl w:val="0"/>
          <w:numId w:val="1"/>
        </w:numPr>
        <w:spacing w:after="60"/>
      </w:pPr>
      <w:r>
        <w:rPr>
          <w:rFonts w:ascii="Calibri" w:cs="Calibri" w:eastAsia="Calibri" w:hAnsi="Calibri"/>
          <w:color w:val="333333"/>
          <w:sz w:val="22"/>
          <w:szCs w:val="22"/>
        </w:rPr>
        <w:t xml:space="preserve">Which block turned out to be more load-bearing than you expected?</w:t>
      </w:r>
    </w:p>
    <w:p>
      <w:pPr>
        <w:pStyle w:val="ListParagraph"/>
        <w:numPr>
          <w:ilvl w:val="0"/>
          <w:numId w:val="1"/>
        </w:numPr>
        <w:spacing w:after="60"/>
      </w:pPr>
      <w:r>
        <w:rPr>
          <w:rFonts w:ascii="Calibri" w:cs="Calibri" w:eastAsia="Calibri" w:hAnsi="Calibri"/>
          <w:color w:val="333333"/>
          <w:sz w:val="22"/>
          <w:szCs w:val="22"/>
        </w:rPr>
        <w:t xml:space="preserve">The teaching note says QR alone is not sufficient — what else had to be true for it to work?</w:t>
      </w:r>
    </w:p>
    <w:p>
      <w:pPr>
        <w:spacing w:before="100"/>
      </w:pPr>
    </w:p>
    <w:p>
      <w:pPr>
        <w:spacing w:after="120" w:before="0"/>
      </w:pPr>
      <w:r>
        <w:rPr>
          <w:rFonts w:ascii="Calibri" w:cs="Calibri" w:eastAsia="Calibri" w:hAnsi="Calibri"/>
          <w:b/>
          <w:bCs/>
          <w:color w:val="0F2438"/>
          <w:sz w:val="22"/>
          <w:szCs w:val="22"/>
        </w:rPr>
        <w:t xml:space="preserve">Section 2: Globalization Choices</w:t>
      </w:r>
    </w:p>
    <w:p>
      <w:pPr>
        <w:pStyle w:val="ListParagraph"/>
        <w:numPr>
          <w:ilvl w:val="0"/>
          <w:numId w:val="1"/>
        </w:numPr>
        <w:spacing w:after="60"/>
      </w:pPr>
      <w:r>
        <w:rPr>
          <w:rFonts w:ascii="Calibri" w:cs="Calibri" w:eastAsia="Calibri" w:hAnsi="Calibri"/>
          <w:color w:val="333333"/>
          <w:sz w:val="22"/>
          <w:szCs w:val="22"/>
        </w:rPr>
        <w:t xml:space="preserve">Which region delivered the best margin, and why?</w:t>
      </w:r>
    </w:p>
    <w:p>
      <w:pPr>
        <w:pStyle w:val="ListParagraph"/>
        <w:numPr>
          <w:ilvl w:val="0"/>
          <w:numId w:val="1"/>
        </w:numPr>
        <w:spacing w:after="60"/>
      </w:pPr>
      <w:r>
        <w:rPr>
          <w:rFonts w:ascii="Calibri" w:cs="Calibri" w:eastAsia="Calibri" w:hAnsi="Calibri"/>
          <w:color w:val="333333"/>
          <w:sz w:val="22"/>
          <w:szCs w:val="22"/>
        </w:rPr>
        <w:t xml:space="preserve">Did you choose depth (many stores in few countries) or breadth (few stores in many countries)?</w:t>
      </w:r>
    </w:p>
    <w:p>
      <w:pPr>
        <w:pStyle w:val="ListParagraph"/>
        <w:numPr>
          <w:ilvl w:val="0"/>
          <w:numId w:val="1"/>
        </w:numPr>
        <w:spacing w:after="60"/>
      </w:pPr>
      <w:r>
        <w:rPr>
          <w:rFonts w:ascii="Calibri" w:cs="Calibri" w:eastAsia="Calibri" w:hAnsi="Calibri"/>
          <w:color w:val="333333"/>
          <w:sz w:val="22"/>
          <w:szCs w:val="22"/>
        </w:rPr>
        <w:t xml:space="preserve">How did entry mode (own stores vs JV vs franchise) affect your margin and control?</w:t>
      </w:r>
    </w:p>
    <w:p>
      <w:pPr>
        <w:spacing w:before="100"/>
      </w:pPr>
    </w:p>
    <w:p>
      <w:pPr>
        <w:spacing w:after="120" w:before="0"/>
      </w:pPr>
      <w:r>
        <w:rPr>
          <w:rFonts w:ascii="Calibri" w:cs="Calibri" w:eastAsia="Calibri" w:hAnsi="Calibri"/>
          <w:b/>
          <w:bCs/>
          <w:color w:val="0F2438"/>
          <w:sz w:val="22"/>
          <w:szCs w:val="22"/>
        </w:rPr>
        <w:t xml:space="preserve">Section 3: Replicability and Sustainability</w:t>
      </w:r>
    </w:p>
    <w:p>
      <w:pPr>
        <w:pStyle w:val="ListParagraph"/>
        <w:numPr>
          <w:ilvl w:val="0"/>
          <w:numId w:val="1"/>
        </w:numPr>
        <w:spacing w:after="60"/>
      </w:pPr>
      <w:r>
        <w:rPr>
          <w:rFonts w:ascii="Calibri" w:cs="Calibri" w:eastAsia="Calibri" w:hAnsi="Calibri"/>
          <w:color w:val="333333"/>
          <w:sz w:val="22"/>
          <w:szCs w:val="22"/>
        </w:rPr>
        <w:t xml:space="preserve">Could a competitor copy what you built? What would stop them?</w:t>
      </w:r>
    </w:p>
    <w:p>
      <w:pPr>
        <w:pStyle w:val="ListParagraph"/>
        <w:numPr>
          <w:ilvl w:val="0"/>
          <w:numId w:val="1"/>
        </w:numPr>
        <w:spacing w:after="60"/>
      </w:pPr>
      <w:r>
        <w:rPr>
          <w:rFonts w:ascii="Calibri" w:cs="Calibri" w:eastAsia="Calibri" w:hAnsi="Calibri"/>
          <w:color w:val="333333"/>
          <w:sz w:val="22"/>
          <w:szCs w:val="22"/>
        </w:rPr>
        <w:t xml:space="preserve">Which of the six barriers to imitation (scale, inputs, learning, complexity, mindsets, timing) did you rely on most?</w:t>
      </w:r>
    </w:p>
    <w:p>
      <w:pPr>
        <w:pStyle w:val="ListParagraph"/>
        <w:numPr>
          <w:ilvl w:val="0"/>
          <w:numId w:val="1"/>
        </w:numPr>
        <w:spacing w:after="60"/>
      </w:pPr>
      <w:r>
        <w:rPr>
          <w:rFonts w:ascii="Calibri" w:cs="Calibri" w:eastAsia="Calibri" w:hAnsi="Calibri"/>
          <w:color w:val="333333"/>
          <w:sz w:val="22"/>
          <w:szCs w:val="22"/>
        </w:rPr>
        <w:t xml:space="preserve">Is your advantage structural or positional — and does it matter?</w:t>
      </w:r>
    </w:p>
    <w:p>
      <w:r>
        <w:br w:type="page"/>
      </w:r>
    </w:p>
    <w:p>
      <w:pPr>
        <w:pStyle w:val="Heading1"/>
        <w:spacing w:after="120" w:before="360"/>
      </w:pPr>
      <w:r>
        <w:t xml:space="preserve">Appendix A: Rival Configuration Reference</w:t>
      </w:r>
    </w:p>
    <w:p>
      <w:pPr>
        <w:spacing w:after="120" w:before="0"/>
      </w:pPr>
      <w:r>
        <w:rPr>
          <w:rFonts w:ascii="Calibri" w:cs="Calibri" w:eastAsia="Calibri" w:hAnsi="Calibri"/>
          <w:color w:val="333333"/>
          <w:sz w:val="22"/>
          <w:szCs w:val="22"/>
        </w:rPr>
        <w:t xml:space="preserve">All 6 rivals with their starting axes, target axes, execution rates, and active lines. Rivals move 10% toward targets each quarter.</w:t>
      </w:r>
    </w:p>
    <w:p>
      <w:pPr>
        <w:spacing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200"/>
        <w:gridCol w:w="1200"/>
        <w:gridCol w:w="1200"/>
        <w:gridCol w:w="1200"/>
        <w:gridCol w:w="1200"/>
        <w:gridCol w:w="1400"/>
      </w:tblGrid>
      <w:tr>
        <w:tc>
          <w:tcPr>
            <w:tcW w:type="dxa" w:w="14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Rival</w:t>
            </w:r>
          </w:p>
        </w:tc>
        <w:tc>
          <w:tcPr>
            <w:tcW w:type="dxa" w:w="7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Exec</w:t>
            </w:r>
          </w:p>
        </w:tc>
        <w:tc>
          <w:tcPr>
            <w:tcW w:type="dxa" w:w="12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Speed</w:t>
            </w:r>
          </w:p>
        </w:tc>
        <w:tc>
          <w:tcPr>
            <w:tcW w:type="dxa" w:w="12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Sustain</w:t>
            </w:r>
          </w:p>
        </w:tc>
        <w:tc>
          <w:tcPr>
            <w:tcW w:type="dxa" w:w="12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Digital</w:t>
            </w:r>
          </w:p>
        </w:tc>
        <w:tc>
          <w:tcPr>
            <w:tcW w:type="dxa" w:w="12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Store</w:t>
            </w:r>
          </w:p>
        </w:tc>
        <w:tc>
          <w:tcPr>
            <w:tcW w:type="dxa" w:w="12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AI</w:t>
            </w:r>
          </w:p>
        </w:tc>
        <w:tc>
          <w:tcPr>
            <w:tcW w:type="dxa" w:w="14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Lines</w:t>
            </w:r>
          </w:p>
        </w:tc>
      </w:tr>
      <w:tr>
        <w:tc>
          <w:tcPr>
            <w:tcW w:type="dxa" w:w="1400"/>
            <w:shd w:fill="F0FAFA"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H&amp;M</w:t>
            </w:r>
          </w:p>
        </w:tc>
        <w:tc>
          <w:tcPr>
            <w:tcW w:type="dxa" w:w="7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0.8</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55→62</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48→66</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55→72</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68→56</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30→48</w:t>
            </w:r>
          </w:p>
        </w:tc>
        <w:tc>
          <w:tcPr>
            <w:tcW w:type="dxa" w:w="14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6"/>
                <w:szCs w:val="16"/>
              </w:rPr>
              <w:t xml:space="preserve">Core(€30→29), Digital(€22→20), Conscious(€62→58), Curve(€34→32)</w:t>
            </w:r>
          </w:p>
        </w:tc>
      </w:tr>
      <w:tr>
        <w:tc>
          <w:tcPr>
            <w:tcW w:type="dxa" w:w="1400"/>
            <w:shd w:fill="FFFFFF"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Shein</w:t>
            </w:r>
          </w:p>
        </w:tc>
        <w:tc>
          <w:tcPr>
            <w:tcW w:type="dxa" w:w="7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0.92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92→97</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8→22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88→96</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72→92</w:t>
            </w:r>
          </w:p>
        </w:tc>
        <w:tc>
          <w:tcPr>
            <w:tcW w:type="dxa" w:w="14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6"/>
                <w:szCs w:val="16"/>
              </w:rPr>
              <w:t xml:space="preserve">Core(€18→16), Digital(€13→12), Curve(€16→15). No Conscious.</w:t>
            </w:r>
          </w:p>
        </w:tc>
      </w:tr>
      <w:tr>
        <w:tc>
          <w:tcPr>
            <w:tcW w:type="dxa" w:w="1400"/>
            <w:shd w:fill="F0FAFA"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Amazon</w:t>
            </w:r>
          </w:p>
        </w:tc>
        <w:tc>
          <w:tcPr>
            <w:tcW w:type="dxa" w:w="7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0.88</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30→40</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25→38</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95→99</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8→8</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65→88</w:t>
            </w:r>
          </w:p>
        </w:tc>
        <w:tc>
          <w:tcPr>
            <w:tcW w:type="dxa" w:w="14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6"/>
                <w:szCs w:val="16"/>
              </w:rPr>
              <w:t xml:space="preserve">Core(€30→31), Digital(€20→19), Curve(€28→27). No Conscious.</w:t>
            </w:r>
          </w:p>
        </w:tc>
      </w:tr>
      <w:tr>
        <w:tc>
          <w:tcPr>
            <w:tcW w:type="dxa" w:w="1400"/>
            <w:shd w:fill="FFFFFF"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Boohoo</w:t>
            </w:r>
          </w:p>
        </w:tc>
        <w:tc>
          <w:tcPr>
            <w:tcW w:type="dxa" w:w="7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0.72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78→86</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15→30</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76→88</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0→0</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40→62</w:t>
            </w:r>
          </w:p>
        </w:tc>
        <w:tc>
          <w:tcPr>
            <w:tcW w:type="dxa" w:w="14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6"/>
                <w:szCs w:val="16"/>
              </w:rPr>
              <w:t xml:space="preserve">Core(€24→22), Digital(€17→16), Curve(€21→20). No Conscious.</w:t>
            </w:r>
          </w:p>
        </w:tc>
      </w:tr>
      <w:tr>
        <w:tc>
          <w:tcPr>
            <w:tcW w:type="dxa" w:w="1400"/>
            <w:shd w:fill="F0FAFA"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ASOS</w:t>
            </w:r>
          </w:p>
        </w:tc>
        <w:tc>
          <w:tcPr>
            <w:tcW w:type="dxa" w:w="7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0.74</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62→70</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30→48</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82→92</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0→0</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45→66</w:t>
            </w:r>
          </w:p>
        </w:tc>
        <w:tc>
          <w:tcPr>
            <w:tcW w:type="dxa" w:w="14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6"/>
                <w:szCs w:val="16"/>
              </w:rPr>
              <w:t xml:space="preserve">Core(€28→27), Digital(€21→20), Conscious(€55→52), Curve(€26→25)</w:t>
            </w:r>
          </w:p>
        </w:tc>
      </w:tr>
      <w:tr>
        <w:tc>
          <w:tcPr>
            <w:tcW w:type="dxa" w:w="1400"/>
            <w:shd w:fill="FFFFFF"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Gap</w:t>
            </w:r>
          </w:p>
        </w:tc>
        <w:tc>
          <w:tcPr>
            <w:tcW w:type="dxa" w:w="7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0.62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28→35</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32→46</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45→62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60→44</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20→38</w:t>
            </w:r>
          </w:p>
        </w:tc>
        <w:tc>
          <w:tcPr>
            <w:tcW w:type="dxa" w:w="14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6"/>
                <w:szCs w:val="16"/>
              </w:rPr>
              <w:t xml:space="preserve">Core(€34→33), Curve(€36→35). No Digital, no Conscious.</w:t>
            </w:r>
          </w:p>
        </w:tc>
      </w:tr>
    </w:tbl>
    <w:p>
      <w:r>
        <w:br w:type="page"/>
      </w:r>
    </w:p>
    <w:p>
      <w:pPr>
        <w:pStyle w:val="Heading1"/>
        <w:spacing w:after="120" w:before="360"/>
      </w:pPr>
      <w:r>
        <w:t xml:space="preserve">Appendix B: Region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Spain (Home)</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costPremium: 0, pricePremium: 0, minStores: 200, startStores: 507, baseDemandShare: 0.27, owned: true</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Rest of Europe</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costPremium: 0.06, pricePremium: 0.25, minStores: 0, startStores: 186, baseDemandShare: 0.42, owned: true</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Middle East</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costPremium: 0.12, pricePremium: 0.40, minStores: 0, startStores: 27, baseDemandShare: 0.08, owned: false</w:t>
            </w:r>
          </w:p>
        </w:tc>
      </w:tr>
      <w:tr>
        <w:tc>
          <w:tcPr>
            <w:tcW w:type="dxa" w:w="2400"/>
            <w:shd w:fill="FFFFFF"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Americas</w:t>
            </w:r>
          </w:p>
        </w:tc>
        <w:tc>
          <w:tcPr>
            <w:tcW w:type="dxa" w:w="7200"/>
            <w:shd w:fill="FFFFFF"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costPremium: 0.225, pricePremium: 0.70, minStores: 0, startStores: 35, baseDemandShare: 0.15, owned: false</w:t>
            </w:r>
          </w:p>
        </w:tc>
      </w:tr>
      <w:tr>
        <w:tc>
          <w:tcPr>
            <w:tcW w:type="dxa" w:w="2400"/>
            <w:shd w:fill="F0FAFA" w:val="clear"/>
            <w:tcMar>
              <w:top w:type="dxa" w:w="40"/>
              <w:left w:type="dxa" w:w="80"/>
              <w:bottom w:type="dxa" w:w="40"/>
              <w:right w:type="dxa" w:w="80"/>
            </w:tcMar>
            <w:vAlign w:val="center"/>
          </w:tcPr>
          <w:p>
            <w:pPr>
              <w:spacing w:after="20" w:before="0"/>
            </w:pPr>
            <w:r>
              <w:rPr>
                <w:rFonts w:ascii="Calibri" w:cs="Calibri" w:eastAsia="Calibri" w:hAnsi="Calibri"/>
                <w:b/>
                <w:bCs/>
                <w:color w:val="0F2438"/>
                <w:sz w:val="20"/>
                <w:szCs w:val="20"/>
              </w:rPr>
              <w:t xml:space="preserve">Asia-Pacific</w:t>
            </w:r>
          </w:p>
        </w:tc>
        <w:tc>
          <w:tcPr>
            <w:tcW w:type="dxa" w:w="7200"/>
            <w:shd w:fill="F0FAFA" w:val="clear"/>
            <w:tcMar>
              <w:top w:type="dxa" w:w="40"/>
              <w:left w:type="dxa" w:w="80"/>
              <w:bottom w:type="dxa" w:w="40"/>
              <w:right w:type="dxa" w:w="80"/>
            </w:tcMar>
            <w:vAlign w:val="center"/>
          </w:tcPr>
          <w:p>
            <w:pPr>
              <w:spacing w:after="20" w:before="0"/>
            </w:pPr>
            <w:r>
              <w:rPr>
                <w:rFonts w:ascii="Calibri" w:cs="Calibri" w:eastAsia="Calibri" w:hAnsi="Calibri"/>
                <w:color w:val="333333"/>
                <w:sz w:val="20"/>
                <w:szCs w:val="20"/>
              </w:rPr>
              <w:t xml:space="preserve">costPremium: 0.18, pricePremium: 1.00, minStores: 0, startStores: 5, baseDemandShare: 0.08, owned: false</w:t>
            </w:r>
          </w:p>
        </w:tc>
      </w:tr>
    </w:tbl>
    <w:p>
      <w:pPr>
        <w:spacing w:before="200"/>
      </w:pPr>
    </w:p>
    <w:p>
      <w:pPr>
        <w:spacing w:after="120" w:before="0"/>
      </w:pPr>
      <w:r>
        <w:rPr>
          <w:rFonts w:ascii="Calibri" w:cs="Calibri" w:eastAsia="Calibri" w:hAnsi="Calibri"/>
          <w:b/>
          <w:bCs/>
          <w:color w:val="0F2438"/>
          <w:sz w:val="22"/>
          <w:szCs w:val="22"/>
        </w:rPr>
        <w:t xml:space="preserve">Entry mode margin capture:</w:t>
      </w:r>
    </w:p>
    <w:p>
      <w:pPr>
        <w:pStyle w:val="ListParagraph"/>
        <w:numPr>
          <w:ilvl w:val="0"/>
          <w:numId w:val="1"/>
        </w:numPr>
        <w:spacing w:after="60"/>
      </w:pPr>
      <w:r>
        <w:rPr>
          <w:rFonts w:ascii="Calibri" w:cs="Calibri" w:eastAsia="Calibri" w:hAnsi="Calibri"/>
          <w:color w:val="333333"/>
          <w:sz w:val="22"/>
          <w:szCs w:val="22"/>
        </w:rPr>
        <w:t xml:space="preserve">Own stores: 100% margin capture, full cost</w:t>
      </w:r>
    </w:p>
    <w:p>
      <w:pPr>
        <w:pStyle w:val="ListParagraph"/>
        <w:numPr>
          <w:ilvl w:val="0"/>
          <w:numId w:val="1"/>
        </w:numPr>
        <w:spacing w:after="60"/>
      </w:pPr>
      <w:r>
        <w:rPr>
          <w:rFonts w:ascii="Calibri" w:cs="Calibri" w:eastAsia="Calibri" w:hAnsi="Calibri"/>
          <w:color w:val="333333"/>
          <w:sz w:val="22"/>
          <w:szCs w:val="22"/>
        </w:rPr>
        <w:t xml:space="preserve">Joint venture: 50% margin capture, shared cost</w:t>
      </w:r>
    </w:p>
    <w:p>
      <w:pPr>
        <w:pStyle w:val="ListParagraph"/>
        <w:numPr>
          <w:ilvl w:val="0"/>
          <w:numId w:val="1"/>
        </w:numPr>
        <w:spacing w:after="60"/>
      </w:pPr>
      <w:r>
        <w:rPr>
          <w:rFonts w:ascii="Calibri" w:cs="Calibri" w:eastAsia="Calibri" w:hAnsi="Calibri"/>
          <w:color w:val="333333"/>
          <w:sz w:val="22"/>
          <w:szCs w:val="22"/>
        </w:rPr>
        <w:t xml:space="preserve">Franchise: 8% fee income, 0.85× COGS, 0.7× demand share</w:t>
      </w:r>
    </w:p>
    <w:p>
      <w:pPr>
        <w:spacing w:before="200"/>
      </w:pPr>
    </w:p>
    <w:p>
      <w:pPr>
        <w:spacing w:after="120" w:before="0"/>
      </w:pPr>
      <w:r>
        <w:rPr>
          <w:rFonts w:ascii="Calibri" w:cs="Calibri" w:eastAsia="Calibri" w:hAnsi="Calibri"/>
          <w:b/>
          <w:bCs/>
          <w:color w:val="0F2438"/>
          <w:sz w:val="22"/>
          <w:szCs w:val="22"/>
        </w:rPr>
        <w:t xml:space="preserve">Entry mode lock schedule:</w:t>
      </w:r>
    </w:p>
    <w:p>
      <w:pPr>
        <w:pStyle w:val="ListParagraph"/>
        <w:numPr>
          <w:ilvl w:val="0"/>
          <w:numId w:val="1"/>
        </w:numPr>
        <w:spacing w:after="60"/>
      </w:pPr>
      <w:r>
        <w:rPr>
          <w:rFonts w:ascii="Calibri" w:cs="Calibri" w:eastAsia="Calibri" w:hAnsi="Calibri"/>
          <w:color w:val="333333"/>
          <w:sz w:val="22"/>
          <w:szCs w:val="22"/>
        </w:rPr>
        <w:t xml:space="preserve">Unlocked at: Q1, Q5, Q9</w:t>
      </w:r>
    </w:p>
    <w:p>
      <w:pPr>
        <w:pStyle w:val="ListParagraph"/>
        <w:numPr>
          <w:ilvl w:val="0"/>
          <w:numId w:val="1"/>
        </w:numPr>
        <w:spacing w:after="60"/>
      </w:pPr>
      <w:r>
        <w:rPr>
          <w:rFonts w:ascii="Calibri" w:cs="Calibri" w:eastAsia="Calibri" w:hAnsi="Calibri"/>
          <w:color w:val="333333"/>
          <w:sz w:val="22"/>
          <w:szCs w:val="22"/>
        </w:rPr>
        <w:t xml:space="preserve">Locked at: Q2–Q4, Q6–Q8, Q10–Q12</w:t>
      </w:r>
    </w:p>
    <w:p>
      <w:pPr>
        <w:pStyle w:val="ListParagraph"/>
        <w:numPr>
          <w:ilvl w:val="0"/>
          <w:numId w:val="1"/>
        </w:numPr>
        <w:spacing w:after="60"/>
      </w:pPr>
      <w:r>
        <w:rPr>
          <w:rFonts w:ascii="Calibri" w:cs="Calibri" w:eastAsia="Calibri" w:hAnsi="Calibri"/>
          <w:color w:val="333333"/>
          <w:sz w:val="22"/>
          <w:szCs w:val="22"/>
        </w:rPr>
        <w:t xml:space="preserve">Formula: locked when quarter &gt; 1 AND (quarter − 1) % 4 ≠ 0</w:t>
      </w:r>
    </w:p>
    <w:p>
      <w:r>
        <w:br w:type="page"/>
      </w:r>
    </w:p>
    <w:p>
      <w:pPr>
        <w:pStyle w:val="Heading1"/>
        <w:spacing w:after="120" w:before="360"/>
      </w:pPr>
      <w:r>
        <w:t xml:space="preserve">Appendix C: Segment Weights &amp; Drift</w:t>
      </w:r>
    </w:p>
    <w:p>
      <w:pPr>
        <w:spacing w:after="120" w:before="0"/>
      </w:pPr>
      <w:r>
        <w:rPr>
          <w:rFonts w:ascii="Calibri" w:cs="Calibri" w:eastAsia="Calibri" w:hAnsi="Calibri"/>
          <w:color w:val="333333"/>
          <w:sz w:val="22"/>
          <w:szCs w:val="22"/>
        </w:rPr>
        <w:t xml:space="preserve">Each segment's fit is computed as: fit = Σ(axis_score × weight) / 100. Weights below.</w:t>
      </w:r>
    </w:p>
    <w:p>
      <w:pPr>
        <w:spacing w:before="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100"/>
        <w:gridCol w:w="1000"/>
        <w:gridCol w:w="1000"/>
        <w:gridCol w:w="1300"/>
      </w:tblGrid>
      <w:tr>
        <w:tc>
          <w:tcPr>
            <w:tcW w:type="dxa" w:w="20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Segment</w:t>
            </w:r>
          </w:p>
        </w:tc>
        <w:tc>
          <w:tcPr>
            <w:tcW w:type="dxa" w:w="10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Speed</w:t>
            </w:r>
          </w:p>
        </w:tc>
        <w:tc>
          <w:tcPr>
            <w:tcW w:type="dxa" w:w="10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Value</w:t>
            </w:r>
          </w:p>
        </w:tc>
        <w:tc>
          <w:tcPr>
            <w:tcW w:type="dxa" w:w="12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Sustain</w:t>
            </w:r>
          </w:p>
        </w:tc>
        <w:tc>
          <w:tcPr>
            <w:tcW w:type="dxa" w:w="11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Digital</w:t>
            </w:r>
          </w:p>
        </w:tc>
        <w:tc>
          <w:tcPr>
            <w:tcW w:type="dxa" w:w="10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Store</w:t>
            </w:r>
          </w:p>
        </w:tc>
        <w:tc>
          <w:tcPr>
            <w:tcW w:type="dxa" w:w="10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AI</w:t>
            </w:r>
          </w:p>
        </w:tc>
        <w:tc>
          <w:tcPr>
            <w:tcW w:type="dxa" w:w="1300"/>
            <w:shd w:fill="0F2438" w:val="clear"/>
            <w:tcMar>
              <w:top w:type="dxa" w:w="40"/>
              <w:left w:type="dxa" w:w="80"/>
              <w:bottom w:type="dxa" w:w="40"/>
              <w:right w:type="dxa" w:w="80"/>
            </w:tcMar>
            <w:vAlign w:val="center"/>
          </w:tcPr>
          <w:p>
            <w:pPr>
              <w:spacing w:after="20" w:before="0"/>
            </w:pPr>
            <w:r>
              <w:rPr>
                <w:rFonts w:ascii="Calibri" w:cs="Calibri" w:eastAsia="Calibri" w:hAnsi="Calibri"/>
                <w:b/>
                <w:bCs/>
                <w:color w:val="FFFFFF"/>
                <w:sz w:val="20"/>
                <w:szCs w:val="20"/>
              </w:rPr>
              <w:t xml:space="preserve">Drift</w:t>
            </w:r>
          </w:p>
        </w:tc>
      </w:tr>
      <w:tr>
        <w:tc>
          <w:tcPr>
            <w:tcW w:type="dxa" w:w="2000"/>
            <w:shd w:fill="F0FAFA"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Urban Trend</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32</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14</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5</w:t>
            </w:r>
          </w:p>
        </w:tc>
        <w:tc>
          <w:tcPr>
            <w:tcW w:type="dxa" w:w="11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14</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25</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10</w:t>
            </w:r>
          </w:p>
        </w:tc>
        <w:tc>
          <w:tcPr>
            <w:tcW w:type="dxa" w:w="13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−1.0%/q</w:t>
            </w:r>
          </w:p>
        </w:tc>
      </w:tr>
      <w:tr>
        <w:tc>
          <w:tcPr>
            <w:tcW w:type="dxa" w:w="2000"/>
            <w:shd w:fill="FFFFFF"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Digital Value</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24</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30</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4</w:t>
            </w:r>
          </w:p>
        </w:tc>
        <w:tc>
          <w:tcPr>
            <w:tcW w:type="dxa" w:w="11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32</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8</w:t>
            </w:r>
          </w:p>
        </w:tc>
        <w:tc>
          <w:tcPr>
            <w:tcW w:type="dxa" w:w="13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+1.2%/q</w:t>
            </w:r>
          </w:p>
        </w:tc>
      </w:tr>
      <w:tr>
        <w:tc>
          <w:tcPr>
            <w:tcW w:type="dxa" w:w="2000"/>
            <w:shd w:fill="F0FAFA"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Conscious Prem.</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8</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6</w:t>
            </w:r>
          </w:p>
        </w:tc>
        <w:tc>
          <w:tcPr>
            <w:tcW w:type="dxa" w:w="12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46</w:t>
            </w:r>
          </w:p>
        </w:tc>
        <w:tc>
          <w:tcPr>
            <w:tcW w:type="dxa" w:w="11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16</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14</w:t>
            </w:r>
          </w:p>
        </w:tc>
        <w:tc>
          <w:tcPr>
            <w:tcW w:type="dxa" w:w="10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10</w:t>
            </w:r>
          </w:p>
        </w:tc>
        <w:tc>
          <w:tcPr>
            <w:tcW w:type="dxa" w:w="1300"/>
            <w:shd w:fill="F0FAFA"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+0.5%/q</w:t>
            </w:r>
          </w:p>
        </w:tc>
      </w:tr>
      <w:tr>
        <w:tc>
          <w:tcPr>
            <w:tcW w:type="dxa" w:w="2000"/>
            <w:shd w:fill="FFFFFF" w:val="clear"/>
            <w:tcMar>
              <w:top w:type="dxa" w:w="40"/>
              <w:left w:type="dxa" w:w="80"/>
              <w:bottom w:type="dxa" w:w="40"/>
              <w:right w:type="dxa" w:w="80"/>
            </w:tcMar>
            <w:vAlign w:val="center"/>
          </w:tcPr>
          <w:p>
            <w:pPr>
              <w:spacing w:after="10" w:before="0"/>
            </w:pPr>
            <w:r>
              <w:rPr>
                <w:rFonts w:ascii="Calibri" w:cs="Calibri" w:eastAsia="Calibri" w:hAnsi="Calibri"/>
                <w:b/>
                <w:bCs/>
                <w:color w:val="0F2438"/>
                <w:sz w:val="18"/>
                <w:szCs w:val="18"/>
              </w:rPr>
              <w:t xml:space="preserve">Extended Size</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16</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22</w:t>
            </w:r>
          </w:p>
        </w:tc>
        <w:tc>
          <w:tcPr>
            <w:tcW w:type="dxa" w:w="12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7</w:t>
            </w:r>
          </w:p>
        </w:tc>
        <w:tc>
          <w:tcPr>
            <w:tcW w:type="dxa" w:w="11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28</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12</w:t>
            </w:r>
          </w:p>
        </w:tc>
        <w:tc>
          <w:tcPr>
            <w:tcW w:type="dxa" w:w="10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15</w:t>
            </w:r>
          </w:p>
        </w:tc>
        <w:tc>
          <w:tcPr>
            <w:tcW w:type="dxa" w:w="1300"/>
            <w:shd w:fill="FFFFFF" w:val="clear"/>
            <w:tcMar>
              <w:top w:type="dxa" w:w="40"/>
              <w:left w:type="dxa" w:w="80"/>
              <w:bottom w:type="dxa" w:w="40"/>
              <w:right w:type="dxa" w:w="80"/>
            </w:tcMar>
            <w:vAlign w:val="center"/>
          </w:tcPr>
          <w:p>
            <w:pPr>
              <w:spacing w:after="10" w:before="0"/>
            </w:pPr>
            <w:r>
              <w:rPr>
                <w:rFonts w:ascii="Calibri" w:cs="Calibri" w:eastAsia="Calibri" w:hAnsi="Calibri"/>
                <w:color w:val="333333"/>
                <w:sz w:val="18"/>
                <w:szCs w:val="18"/>
              </w:rPr>
              <w:t xml:space="preserve">−0.7%/q</w:t>
            </w:r>
          </w:p>
        </w:tc>
      </w:tr>
    </w:tbl>
    <w:p>
      <w:pPr>
        <w:spacing w:before="200"/>
      </w:pPr>
    </w:p>
    <w:p>
      <w:pPr>
        <w:spacing w:after="120" w:before="0"/>
      </w:pPr>
      <w:r>
        <w:rPr>
          <w:rFonts w:ascii="Calibri" w:cs="Calibri" w:eastAsia="Calibri" w:hAnsi="Calibri"/>
          <w:b/>
          <w:bCs/>
          <w:color w:val="0F2438"/>
          <w:sz w:val="22"/>
          <w:szCs w:val="22"/>
        </w:rPr>
        <w:t xml:space="preserve">Product lines per segment:</w:t>
      </w:r>
    </w:p>
    <w:p>
      <w:pPr>
        <w:pStyle w:val="ListParagraph"/>
        <w:numPr>
          <w:ilvl w:val="0"/>
          <w:numId w:val="1"/>
        </w:numPr>
        <w:spacing w:after="60"/>
      </w:pPr>
      <w:r>
        <w:rPr>
          <w:rFonts w:ascii="Calibri" w:cs="Calibri" w:eastAsia="Calibri" w:hAnsi="Calibri"/>
          <w:color w:val="333333"/>
          <w:sz w:val="22"/>
          <w:szCs w:val="22"/>
        </w:rPr>
        <w:t xml:space="preserve">Urban Trend Seekers → Core Collection (price €20–70, COGS base €12)</w:t>
      </w:r>
    </w:p>
    <w:p>
      <w:pPr>
        <w:pStyle w:val="ListParagraph"/>
        <w:numPr>
          <w:ilvl w:val="0"/>
          <w:numId w:val="1"/>
        </w:numPr>
        <w:spacing w:after="60"/>
      </w:pPr>
      <w:r>
        <w:rPr>
          <w:rFonts w:ascii="Calibri" w:cs="Calibri" w:eastAsia="Calibri" w:hAnsi="Calibri"/>
          <w:color w:val="333333"/>
          <w:sz w:val="22"/>
          <w:szCs w:val="22"/>
        </w:rPr>
        <w:t xml:space="preserve">Digital Value Shoppers → Digital-Exclusive (price €12–45, COGS base €8, overhead €70M)</w:t>
      </w:r>
    </w:p>
    <w:p>
      <w:pPr>
        <w:pStyle w:val="ListParagraph"/>
        <w:numPr>
          <w:ilvl w:val="0"/>
          <w:numId w:val="1"/>
        </w:numPr>
        <w:spacing w:after="60"/>
      </w:pPr>
      <w:r>
        <w:rPr>
          <w:rFonts w:ascii="Calibri" w:cs="Calibri" w:eastAsia="Calibri" w:hAnsi="Calibri"/>
          <w:color w:val="333333"/>
          <w:sz w:val="22"/>
          <w:szCs w:val="22"/>
        </w:rPr>
        <w:t xml:space="preserve">Conscious Premium → Conscious Line (price €40–130, COGS base €31, overhead €95M)</w:t>
      </w:r>
    </w:p>
    <w:p>
      <w:pPr>
        <w:pStyle w:val="ListParagraph"/>
        <w:numPr>
          <w:ilvl w:val="0"/>
          <w:numId w:val="1"/>
        </w:numPr>
        <w:spacing w:after="60"/>
      </w:pPr>
      <w:r>
        <w:rPr>
          <w:rFonts w:ascii="Calibri" w:cs="Calibri" w:eastAsia="Calibri" w:hAnsi="Calibri"/>
          <w:color w:val="333333"/>
          <w:sz w:val="22"/>
          <w:szCs w:val="22"/>
        </w:rPr>
        <w:t xml:space="preserve">Extended-Size Shoppers → Extended Sizes (price €22–80, COGS base €14, overhead €80M)</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Calibri" w:cs="Calibri" w:eastAsia="Calibri" w:hAnsi="Calibri"/>
      <w:b/>
      <w:bCs/>
      <w:color w:val="0F2438"/>
      <w:sz w:val="36"/>
      <w:szCs w:val="36"/>
    </w:rPr>
  </w:style>
  <w:style w:type="paragraph" w:styleId="Heading2">
    <w:name w:val="Heading 2"/>
    <w:basedOn w:val="Normal"/>
    <w:next w:val="Normal"/>
    <w:qFormat/>
    <w:pPr>
      <w:spacing w:after="100" w:before="200"/>
    </w:pPr>
    <w:rPr>
      <w:rFonts w:ascii="Calibri" w:cs="Calibri" w:eastAsia="Calibri" w:hAnsi="Calibri"/>
      <w:b/>
      <w:bCs/>
      <w:color w:val="0D9B8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Zara BM &amp; Globalization — Round-by-Round Developer Script</dc:title>
  <dc:creator>SimuLok.ai</dc:creator>
  <cp:lastModifiedBy>Un-named</cp:lastModifiedBy>
  <cp:revision>1</cp:revision>
  <dcterms:created xsi:type="dcterms:W3CDTF">2026-09-07T05:24:59.376Z</dcterms:created>
  <dcterms:modified xsi:type="dcterms:W3CDTF">2026-09-07T05:24:59.380Z</dcterms:modified>
</cp:coreProperties>
</file>

<file path=docProps/custom.xml><?xml version="1.0" encoding="utf-8"?>
<Properties xmlns="http://schemas.openxmlformats.org/officeDocument/2006/custom-properties" xmlns:vt="http://schemas.openxmlformats.org/officeDocument/2006/docPropsVTypes"/>
</file>