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Georgia" w:cs="Georgia" w:eastAsia="Georgia" w:hAnsi="Georgia"/>
          <w:b/>
          <w:bCs/>
          <w:color w:val="D97B2B"/>
          <w:sz w:val="52"/>
          <w:szCs w:val="52"/>
        </w:rPr>
        <w:t xml:space="preserve">SIMULOK</w:t>
      </w:r>
    </w:p>
    <w:p>
      <w:pPr>
        <w:spacing w:before="200"/>
        <w:jc w:val="center"/>
      </w:pPr>
      <w:r>
        <w:rPr>
          <w:rFonts w:ascii="Georgia" w:cs="Georgia" w:eastAsia="Georgia" w:hAnsi="Georgia"/>
          <w:b/>
          <w:bCs/>
          <w:color w:val="1C2233"/>
          <w:sz w:val="40"/>
          <w:szCs w:val="40"/>
        </w:rPr>
        <w:t xml:space="preserve">Zenith Appliances Simulator</w:t>
      </w:r>
    </w:p>
    <w:p>
      <w:pPr>
        <w:spacing w:before="200"/>
        <w:jc w:val="center"/>
      </w:pPr>
      <w:r>
        <w:rPr>
          <w:rFonts w:ascii="Georgia" w:cs="Georgia" w:eastAsia="Georgia" w:hAnsi="Georgia"/>
          <w:color w:val="2980B9"/>
          <w:sz w:val="32"/>
          <w:szCs w:val="32"/>
        </w:rPr>
        <w:t xml:space="preserve">Low-Level Design Document</w:t>
      </w:r>
    </w:p>
    <w:p>
      <w:pPr>
        <w:spacing w:before="600"/>
        <w:jc w:val="center"/>
      </w:pPr>
      <w:r>
        <w:rPr>
          <w:i/>
          <w:iCs/>
          <w:color w:val="7E8490"/>
          <w:sz w:val="24"/>
          <w:szCs w:val="24"/>
        </w:rPr>
        <w:t xml:space="preserve">Operating Costing &amp; Budgetary Control</w:t>
      </w:r>
    </w:p>
    <w:p>
      <w:pPr>
        <w:spacing w:before="200"/>
        <w:jc w:val="center"/>
      </w:pPr>
      <w:r>
        <w:rPr>
          <w:color w:val="7E8490"/>
          <w:sz w:val="22"/>
          <w:szCs w:val="22"/>
        </w:rPr>
        <w:t xml:space="preserve">Version 2.0 — Lever-Style Interactive Simulator</w:t>
      </w:r>
    </w:p>
    <w:p>
      <w:pPr>
        <w:spacing w:before="400"/>
        <w:jc w:val="center"/>
      </w:pPr>
      <w:r>
        <w:rPr>
          <w:color w:val="7E8490"/>
          <w:sz w:val="20"/>
          <w:szCs w:val="20"/>
        </w:rPr>
        <w:t xml:space="preserve">Based on Horngren’s Cost Accounting · Designed for Executive MBA</w:t>
      </w:r>
    </w:p>
    <w:p>
      <w:pPr>
        <w:spacing w:before="800"/>
        <w:jc w:val="center"/>
      </w:pPr>
      <w:r>
        <w:rPr>
          <w:color w:val="7E8490"/>
          <w:sz w:val="22"/>
          <w:szCs w:val="22"/>
        </w:rPr>
        <w:t xml:space="preserve">September 2026</w:t>
      </w:r>
    </w:p>
    <w:p>
      <w:r>
        <w:br w:type="page"/>
      </w:r>
    </w:p>
    <w:p>
      <w:pPr>
        <w:pStyle w:val="Heading1"/>
        <w:spacing w:after="120" w:before="400"/>
      </w:pPr>
      <w:r>
        <w:rPr>
          <w:b/>
          <w:bCs/>
          <w:color w:val="D97B2B"/>
        </w:rPr>
        <w:t xml:space="preserve">1. System Overview</w:t>
      </w:r>
    </w:p>
    <w:p>
      <w:pPr>
        <w:spacing w:after="120"/>
      </w:pPr>
      <w:r>
        <w:rPr>
          <w:color w:val="1C2233"/>
          <w:sz w:val="22"/>
          <w:szCs w:val="22"/>
        </w:rPr>
        <w:t xml:space="preserve">The Zenith Appliances simulator is a single-page HTML application that teaches Operating Costing &amp; Budgetary Control through interactive lever-based decision-making. Students play the role of CFO at a water purifier manufacturing company in Aurangabad, India, making 14 rounds of budget, standard-setting, variance analysis, and performance attribution decisions.</w:t>
      </w:r>
    </w:p>
    <w:p>
      <w:pPr>
        <w:pStyle w:val="Heading2"/>
        <w:spacing w:after="120" w:before="280"/>
      </w:pPr>
      <w:r>
        <w:rPr>
          <w:b/>
          <w:bCs/>
          <w:color w:val="2980B9"/>
        </w:rPr>
        <w:t xml:space="preserve">1.1 Design Philosophy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 right/wrong answers — decisions have consequences and tradeoffs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Students act as CFO, not test-takers — levers replace MCQ options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Real-time financial impact visible as sliders move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Board feedback reflects decision quality on a continuous scale (0–4)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Cost accounting concepts are taught experientially through doing</w:t>
      </w:r>
    </w:p>
    <w:p>
      <w:pPr>
        <w:pStyle w:val="Heading2"/>
        <w:spacing w:after="120" w:before="280"/>
      </w:pPr>
      <w:r>
        <w:rPr>
          <w:b/>
          <w:bCs/>
          <w:color w:val="2980B9"/>
        </w:rPr>
        <w:t xml:space="preserve">1.2 Technology Stack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3400"/>
      </w:tblGrid>
      <w:tr>
        <w:tc>
          <w:tcPr>
            <w:tcW w:type="dxa" w:w="3200"/>
            <w:shd w:fill="E8E4DC" w:val="clear"/>
          </w:tcPr>
          <w:p>
            <w:pPr>
              <w:spacing w:after="40" w:before="40"/>
            </w:pPr>
            <w:r>
              <w:rPr>
                <w:b/>
                <w:bCs/>
                <w:color w:val="1C2233"/>
                <w:sz w:val="20"/>
                <w:szCs w:val="20"/>
              </w:rPr>
              <w:t xml:space="preserve">Component</w:t>
            </w:r>
          </w:p>
        </w:tc>
        <w:tc>
          <w:tcPr>
            <w:tcW w:type="dxa" w:w="3400"/>
            <w:shd w:fill="E8E4DC" w:val="clear"/>
          </w:tcPr>
          <w:p>
            <w:pPr>
              <w:spacing w:after="40" w:before="40"/>
            </w:pPr>
            <w:r>
              <w:rPr>
                <w:b/>
                <w:bCs/>
                <w:color w:val="1C2233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400"/>
            <w:shd w:fill="E8E4DC" w:val="clear"/>
          </w:tcPr>
          <w:p>
            <w:pPr>
              <w:spacing w:after="40" w:before="40"/>
            </w:pPr>
            <w:r>
              <w:rPr>
                <w:b/>
                <w:bCs/>
                <w:color w:val="1C2233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Frontend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Vanilla HTML/CSS/JS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Single file, no build step, no dependencies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IIFE (Immediately Invoked Function Expression)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Encapsulated game state, window-exposed handlers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Styling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CSS Custom Properties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Dark/light theme, responsive, SimuLok design system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Hosting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GitHub Pages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Static file, zero server requirements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Data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Inline JavaScript objects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14 round definitions with lever configs, scoring, feedback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b/>
          <w:bCs/>
          <w:color w:val="D97B2B"/>
        </w:rPr>
        <w:t xml:space="preserve">2. Architecture</w:t>
      </w:r>
    </w:p>
    <w:p>
      <w:pPr>
        <w:pStyle w:val="Heading2"/>
        <w:spacing w:after="120" w:before="280"/>
      </w:pPr>
      <w:r>
        <w:rPr>
          <w:b/>
          <w:bCs/>
          <w:color w:val="2980B9"/>
        </w:rPr>
        <w:t xml:space="preserve">2.1 File Structure</w:t>
      </w:r>
    </w:p>
    <w:p>
      <w:pPr>
        <w:spacing w:after="120"/>
      </w:pPr>
      <w:r>
        <w:rPr>
          <w:color w:val="1C2233"/>
          <w:sz w:val="22"/>
          <w:szCs w:val="22"/>
        </w:rPr>
        <w:t xml:space="preserve">The entire simulator is contained in a single HTML file: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Lines 1–50: CSS custom properties and theme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Lines 50–210: Component styles (scene cards, levers, impact preview, board response, results)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Lines 210–220: HTML app shell (#app &gt; progress-strip + game-header + #main)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Lines 220–250: Helper functions (fmtCr, fmtN, fmtL, fmtP, clamp)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Lines 250–260: Game state object (S)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Lines 260–850: ROUNDS array — 14 round definition objects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Lines 850–890: Profile/grade calculation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Lines 890–920: UI rendering (rail, levers, hints)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Lines 920–960: Game flow (startGame, lockIn, nextRound)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Lines 960–end: Results screen rendering</w:t>
      </w:r>
    </w:p>
    <w:p>
      <w:pPr>
        <w:pStyle w:val="Heading2"/>
        <w:spacing w:after="120" w:before="280"/>
      </w:pPr>
      <w:r>
        <w:rPr>
          <w:b/>
          <w:bCs/>
          <w:color w:val="2980B9"/>
        </w:rPr>
        <w:t xml:space="preserve">2.2 Game State Object</w:t>
      </w:r>
    </w:p>
    <w:p>
      <w:pPr>
        <w:spacing w:after="120"/>
      </w:pPr>
      <w:r>
        <w:rPr>
          <w:color w:val="1C2233"/>
          <w:sz w:val="22"/>
          <w:szCs w:val="22"/>
        </w:rPr>
        <w:t xml:space="preserve">The S object tracks all student decisions and computed state across rounds: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3400"/>
      </w:tblGrid>
      <w:tr>
        <w:tc>
          <w:tcPr>
            <w:tcW w:type="dxa" w:w="3200"/>
            <w:shd w:fill="E8E4DC" w:val="clear"/>
          </w:tcPr>
          <w:p>
            <w:pPr>
              <w:spacing w:after="40" w:before="40"/>
            </w:pPr>
            <w:r>
              <w:rPr>
                <w:b/>
                <w:bCs/>
                <w:color w:val="1C2233"/>
                <w:sz w:val="20"/>
                <w:szCs w:val="20"/>
              </w:rPr>
              <w:t xml:space="preserve">Property</w:t>
            </w:r>
          </w:p>
        </w:tc>
        <w:tc>
          <w:tcPr>
            <w:tcW w:type="dxa" w:w="3400"/>
            <w:shd w:fill="E8E4DC" w:val="clear"/>
          </w:tcPr>
          <w:p>
            <w:pPr>
              <w:spacing w:after="40" w:before="40"/>
            </w:pPr>
            <w:r>
              <w:rPr>
                <w:b/>
                <w:bCs/>
                <w:color w:val="1C2233"/>
                <w:sz w:val="20"/>
                <w:szCs w:val="20"/>
              </w:rPr>
              <w:t xml:space="preserve">Type</w:t>
            </w:r>
          </w:p>
        </w:tc>
        <w:tc>
          <w:tcPr>
            <w:tcW w:type="dxa" w:w="3400"/>
            <w:shd w:fill="E8E4DC" w:val="clear"/>
          </w:tcPr>
          <w:p>
            <w:pPr>
              <w:spacing w:after="40" w:before="40"/>
            </w:pPr>
            <w:r>
              <w:rPr>
                <w:b/>
                <w:bCs/>
                <w:color w:val="1C2233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round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Number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Current round (1–14)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phase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String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intro | playing | results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totalScore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Number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Cumulative marks earned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maxPossible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Number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Cumulative marks available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roundScores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Array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Per-round scoring records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locked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Boolean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Whether current round is submitted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salesVol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Number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Sales volume from R1 (persists)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sellPrice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Number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Selling price from R1 (persists)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closingFG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Number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FG inventory policy from R2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closingRM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Number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RM safety stock from R2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headcount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Number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Labour headcount from R4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denomHrs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Number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OH denominator from R5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stdMatQty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Number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Material standard from R9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stdLabHrs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Number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Labour standard from R9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stdVOHRate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Number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VOH rate from R9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improvTarget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Number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Improvement target % from R9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b/>
          <w:bCs/>
          <w:color w:val="2980B9"/>
        </w:rPr>
        <w:t xml:space="preserve">2.3 Round Definition Schema</w:t>
      </w:r>
    </w:p>
    <w:p>
      <w:pPr>
        <w:spacing w:after="120"/>
      </w:pPr>
      <w:r>
        <w:rPr>
          <w:color w:val="1C2233"/>
          <w:sz w:val="22"/>
          <w:szCs w:val="22"/>
        </w:rPr>
        <w:t xml:space="preserve">Each round in the ROUNDS array follows this structure: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3400"/>
      </w:tblGrid>
      <w:tr>
        <w:tc>
          <w:tcPr>
            <w:tcW w:type="dxa" w:w="3200"/>
            <w:shd w:fill="E8E4DC" w:val="clear"/>
          </w:tcPr>
          <w:p>
            <w:pPr>
              <w:spacing w:after="40" w:before="40"/>
            </w:pPr>
            <w:r>
              <w:rPr>
                <w:b/>
                <w:bCs/>
                <w:color w:val="1C2233"/>
                <w:sz w:val="20"/>
                <w:szCs w:val="20"/>
              </w:rPr>
              <w:t xml:space="preserve">Field</w:t>
            </w:r>
          </w:p>
        </w:tc>
        <w:tc>
          <w:tcPr>
            <w:tcW w:type="dxa" w:w="3400"/>
            <w:shd w:fill="E8E4DC" w:val="clear"/>
          </w:tcPr>
          <w:p>
            <w:pPr>
              <w:spacing w:after="40" w:before="40"/>
            </w:pPr>
            <w:r>
              <w:rPr>
                <w:b/>
                <w:bCs/>
                <w:color w:val="1C2233"/>
                <w:sz w:val="20"/>
                <w:szCs w:val="20"/>
              </w:rPr>
              <w:t xml:space="preserve">Type</w:t>
            </w:r>
          </w:p>
        </w:tc>
        <w:tc>
          <w:tcPr>
            <w:tcW w:type="dxa" w:w="3400"/>
            <w:shd w:fill="E8E4DC" w:val="clear"/>
          </w:tcPr>
          <w:p>
            <w:pPr>
              <w:spacing w:after="40" w:before="40"/>
            </w:pPr>
            <w:r>
              <w:rPr>
                <w:b/>
                <w:bCs/>
                <w:color w:val="1C2233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id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Number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Round number (1–14)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title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String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Display title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subtitle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String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One-line description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phase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String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build | standards | analysis | final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isEvent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Boolean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True for exceptional events (rounds 3, 6, 10, 13)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marks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Number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Maximum marks for this round (5–13)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concept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Object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{title, text, formula} — educational content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dataHtml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String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HTML string for the data pack table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levers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Array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Lever configuration objects (2–4 per round)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computeImpact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Function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(values) =&gt; metrics array for live preview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score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Function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(values) =&gt; quality score 0–4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feedback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Function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(values, score) =&gt; board response object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principle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String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Cost accounting principle revealed post-submit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2980B9"/>
        </w:rPr>
        <w:t xml:space="preserve">2.4 Lever Configuration Schema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3400"/>
      </w:tblGrid>
      <w:tr>
        <w:tc>
          <w:tcPr>
            <w:tcW w:type="dxa" w:w="3200"/>
            <w:shd w:fill="E8E4DC" w:val="clear"/>
          </w:tcPr>
          <w:p>
            <w:pPr>
              <w:spacing w:after="40" w:before="40"/>
            </w:pPr>
            <w:r>
              <w:rPr>
                <w:b/>
                <w:bCs/>
                <w:color w:val="1C2233"/>
                <w:sz w:val="20"/>
                <w:szCs w:val="20"/>
              </w:rPr>
              <w:t xml:space="preserve">Field</w:t>
            </w:r>
          </w:p>
        </w:tc>
        <w:tc>
          <w:tcPr>
            <w:tcW w:type="dxa" w:w="3400"/>
            <w:shd w:fill="E8E4DC" w:val="clear"/>
          </w:tcPr>
          <w:p>
            <w:pPr>
              <w:spacing w:after="40" w:before="40"/>
            </w:pPr>
            <w:r>
              <w:rPr>
                <w:b/>
                <w:bCs/>
                <w:color w:val="1C2233"/>
                <w:sz w:val="20"/>
                <w:szCs w:val="20"/>
              </w:rPr>
              <w:t xml:space="preserve">Type</w:t>
            </w:r>
          </w:p>
        </w:tc>
        <w:tc>
          <w:tcPr>
            <w:tcW w:type="dxa" w:w="3400"/>
            <w:shd w:fill="E8E4DC" w:val="clear"/>
          </w:tcPr>
          <w:p>
            <w:pPr>
              <w:spacing w:after="40" w:before="40"/>
            </w:pPr>
            <w:r>
              <w:rPr>
                <w:b/>
                <w:bCs/>
                <w:color w:val="1C2233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id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String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Unique identifier, maps to S[id]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label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String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Display label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min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Number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Minimum value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max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Number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Maximum value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step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Number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Slider step increment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default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Number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Initial value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format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String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number | currency-unit | cr | percent | decimal | toggle | toggle3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labels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Array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(toggle/toggle3 only) Display labels for each position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hints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Array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[{at: threshold, text: hint}] — contextual guidance</w:t>
            </w:r>
          </w:p>
        </w:tc>
      </w:tr>
    </w:tbl>
    <w:p>
      <w:pPr>
        <w:spacing w:after="120"/>
      </w:pPr>
      <w:r>
        <w:rPr>
          <w:color w:val="1C2233"/>
          <w:sz w:val="22"/>
          <w:szCs w:val="22"/>
        </w:rPr>
        <w:t xml:space="preserve">Toggle format: 0/1 binary choice rendered as a slider. Toggle3: 0/1/2 ternary choice. Hints are matched by finding the highest threshold &lt;= current value.</w:t>
      </w:r>
    </w:p>
    <w:p>
      <w:r>
        <w:br w:type="page"/>
      </w:r>
    </w:p>
    <w:p>
      <w:pPr>
        <w:pStyle w:val="Heading1"/>
        <w:spacing w:after="120" w:before="400"/>
      </w:pPr>
      <w:r>
        <w:rPr>
          <w:b/>
          <w:bCs/>
          <w:color w:val="D97B2B"/>
        </w:rPr>
        <w:t xml:space="preserve">3. Data Flow</w:t>
      </w:r>
    </w:p>
    <w:p>
      <w:pPr>
        <w:pStyle w:val="Heading2"/>
        <w:spacing w:after="120" w:before="280"/>
      </w:pPr>
      <w:r>
        <w:rPr>
          <w:b/>
          <w:bCs/>
          <w:color w:val="2980B9"/>
        </w:rPr>
        <w:t xml:space="preserve">3.1 Round Lifecycle</w:t>
      </w:r>
    </w:p>
    <w:p>
      <w:pPr>
        <w:spacing w:after="120"/>
      </w:pPr>
      <w:r>
        <w:rPr>
          <w:color w:val="1C2233"/>
          <w:sz w:val="22"/>
          <w:szCs w:val="22"/>
        </w:rPr>
        <w:t xml:space="preserve">1. renderRound() — Builds the full round UI: rail, scene card, concept box, data pack, lever section, impact preview, submit button.</w:t>
      </w:r>
    </w:p>
    <w:p>
      <w:pPr>
        <w:spacing w:after="120"/>
      </w:pPr>
      <w:r>
        <w:rPr>
          <w:color w:val="1C2233"/>
          <w:sz w:val="22"/>
          <w:szCs w:val="22"/>
        </w:rPr>
        <w:t xml:space="preserve">2. updateLever(id, val) — Called on every slider input event. Updates S[id], formats display, updates hint text, calls updateImpact().</w:t>
      </w:r>
    </w:p>
    <w:p>
      <w:pPr>
        <w:spacing w:after="120"/>
      </w:pPr>
      <w:r>
        <w:rPr>
          <w:color w:val="1C2233"/>
          <w:sz w:val="22"/>
          <w:szCs w:val="22"/>
        </w:rPr>
        <w:t xml:space="preserve">3. updateImpact() — Reads current lever values from S, calls round.computeImpact(values), renders metrics grid.</w:t>
      </w:r>
    </w:p>
    <w:p>
      <w:pPr>
        <w:spacing w:after="120"/>
      </w:pPr>
      <w:r>
        <w:rPr>
          <w:color w:val="1C2233"/>
          <w:sz w:val="22"/>
          <w:szCs w:val="22"/>
        </w:rPr>
        <w:t xml:space="preserve">4. lockIn() — Computes score via round.score(values), scales to marks (score/4 * marks), generates board feedback via round.feedback(values, score), disables levers, shows response + principle + score reveal.</w:t>
      </w:r>
    </w:p>
    <w:p>
      <w:pPr>
        <w:spacing w:after="120"/>
      </w:pPr>
      <w:r>
        <w:rPr>
          <w:color w:val="1C2233"/>
          <w:sz w:val="22"/>
          <w:szCs w:val="22"/>
        </w:rPr>
        <w:t xml:space="preserve">5. nextRound() — Increments S.round. If round &gt; 14, calls renderResults(). Otherwise calls renderRound().</w:t>
      </w:r>
    </w:p>
    <w:p>
      <w:pPr>
        <w:pStyle w:val="Heading2"/>
        <w:spacing w:after="120" w:before="280"/>
      </w:pPr>
      <w:r>
        <w:rPr>
          <w:b/>
          <w:bCs/>
          <w:color w:val="2980B9"/>
        </w:rPr>
        <w:t xml:space="preserve">3.2 State Persistence Across Rounds</w:t>
      </w:r>
    </w:p>
    <w:p>
      <w:pPr>
        <w:spacing w:after="120"/>
      </w:pPr>
      <w:r>
        <w:rPr>
          <w:color w:val="1C2233"/>
          <w:sz w:val="22"/>
          <w:szCs w:val="22"/>
        </w:rPr>
        <w:t xml:space="preserve">Lever values are stored in the S object and persist across rounds. This enables downstream rounds to reference upstream decisions: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R2 uses S.salesVol from R1 to compute production volume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R5 uses S.salesVol to compute capacity utilisation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R7 uses S.salesVol and S.sellPrice for operating income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R8 uses S.salesVol and S.sellPrice for cash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Results screen uses S.stdMatQty, S.stdLabHrs, S.stdVOHRate, S.denomHrs for the standard cost card</w:t>
      </w:r>
    </w:p>
    <w:p>
      <w:pPr>
        <w:pStyle w:val="Heading2"/>
        <w:spacing w:after="120" w:before="280"/>
      </w:pPr>
      <w:r>
        <w:rPr>
          <w:b/>
          <w:bCs/>
          <w:color w:val="2980B9"/>
        </w:rPr>
        <w:t xml:space="preserve">3.3 Scoring Model</w:t>
      </w:r>
    </w:p>
    <w:p>
      <w:pPr>
        <w:spacing w:after="120"/>
      </w:pPr>
      <w:r>
        <w:rPr>
          <w:color w:val="1C2233"/>
          <w:sz w:val="22"/>
          <w:szCs w:val="22"/>
        </w:rPr>
        <w:t xml:space="preserve">Each round uses a continuous scoring function that returns a quality score from 0 to 4: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4.0 = Optimal decision with full understanding of the concept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3.0 = Good decision, perhaps missing one nuance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2.0 = Acceptable but with risks or missed tradeoffs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1.0 = Weak decision, misses key concept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0.0 = Decision creates downstream problems</w:t>
      </w:r>
    </w:p>
    <w:p>
      <w:pPr>
        <w:spacing w:after="120"/>
      </w:pPr>
      <w:r>
        <w:rPr>
          <w:color w:val="1C2233"/>
          <w:sz w:val="22"/>
          <w:szCs w:val="22"/>
        </w:rPr>
        <w:t xml:space="preserve">The quality score is scaled to marks: roundMarks = (qualityScore / 4) * round.marks</w:t>
      </w:r>
    </w:p>
    <w:p>
      <w:pPr>
        <w:spacing w:after="120"/>
      </w:pPr>
      <w:r>
        <w:rPr>
          <w:color w:val="1C2233"/>
          <w:sz w:val="22"/>
          <w:szCs w:val="22"/>
        </w:rPr>
        <w:t xml:space="preserve">Final percentage = totalScore / maxPossible * 100</w:t>
      </w:r>
    </w:p>
    <w:p>
      <w:pPr>
        <w:pStyle w:val="Heading2"/>
        <w:spacing w:after="120" w:before="280"/>
      </w:pPr>
      <w:r>
        <w:rPr>
          <w:b/>
          <w:bCs/>
          <w:color w:val="2980B9"/>
        </w:rPr>
        <w:t xml:space="preserve">3.4 Board Feedback Generation</w:t>
      </w:r>
    </w:p>
    <w:p>
      <w:pPr>
        <w:spacing w:after="120"/>
      </w:pPr>
      <w:r>
        <w:rPr>
          <w:color w:val="1C2233"/>
          <w:sz w:val="22"/>
          <w:szCs w:val="22"/>
        </w:rPr>
        <w:t xml:space="preserve">The feedback function receives lever values and the quality score, returning: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3400"/>
      </w:tblGrid>
      <w:tr>
        <w:tc>
          <w:tcPr>
            <w:tcW w:type="dxa" w:w="3200"/>
            <w:shd w:fill="E8E4DC" w:val="clear"/>
          </w:tcPr>
          <w:p>
            <w:pPr>
              <w:spacing w:after="40" w:before="40"/>
            </w:pPr>
            <w:r>
              <w:rPr>
                <w:b/>
                <w:bCs/>
                <w:color w:val="1C2233"/>
                <w:sz w:val="20"/>
                <w:szCs w:val="20"/>
              </w:rPr>
              <w:t xml:space="preserve">Field</w:t>
            </w:r>
          </w:p>
        </w:tc>
        <w:tc>
          <w:tcPr>
            <w:tcW w:type="dxa" w:w="3400"/>
            <w:shd w:fill="E8E4DC" w:val="clear"/>
          </w:tcPr>
          <w:p>
            <w:pPr>
              <w:spacing w:after="40" w:before="40"/>
            </w:pPr>
            <w:r>
              <w:rPr>
                <w:b/>
                <w:bCs/>
                <w:color w:val="1C2233"/>
                <w:sz w:val="20"/>
                <w:szCs w:val="20"/>
              </w:rPr>
              <w:t xml:space="preserve">Values</w:t>
            </w:r>
          </w:p>
        </w:tc>
        <w:tc>
          <w:tcPr>
            <w:tcW w:type="dxa" w:w="3400"/>
            <w:shd w:fill="E8E4DC" w:val="clear"/>
          </w:tcPr>
          <w:p>
            <w:pPr>
              <w:spacing w:after="40" w:before="40"/>
            </w:pPr>
            <w:r>
              <w:rPr>
                <w:b/>
                <w:bCs/>
                <w:color w:val="1C2233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cls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strong | moderate | weak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CSS class for response styling (green/saffron/red)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icon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Emoji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Visual indicator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title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String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Board’s verdict headline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text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String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Detailed response explaining consequences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sub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String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Educational subtext connecting to theory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b/>
          <w:bCs/>
          <w:color w:val="D97B2B"/>
        </w:rPr>
        <w:t xml:space="preserve">4. UI Components</w:t>
      </w:r>
    </w:p>
    <w:p>
      <w:pPr>
        <w:pStyle w:val="Heading2"/>
        <w:spacing w:after="120" w:before="280"/>
      </w:pPr>
      <w:r>
        <w:rPr>
          <w:b/>
          <w:bCs/>
          <w:color w:val="2980B9"/>
        </w:rPr>
        <w:t xml:space="preserve">4.1 Component Hierarchy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3400"/>
      </w:tblGrid>
      <w:tr>
        <w:tc>
          <w:tcPr>
            <w:tcW w:type="dxa" w:w="3200"/>
            <w:shd w:fill="E8E4DC" w:val="clear"/>
          </w:tcPr>
          <w:p>
            <w:pPr>
              <w:spacing w:after="40" w:before="40"/>
            </w:pPr>
            <w:r>
              <w:rPr>
                <w:b/>
                <w:bCs/>
                <w:color w:val="1C2233"/>
                <w:sz w:val="20"/>
                <w:szCs w:val="20"/>
              </w:rPr>
              <w:t xml:space="preserve">Component</w:t>
            </w:r>
          </w:p>
        </w:tc>
        <w:tc>
          <w:tcPr>
            <w:tcW w:type="dxa" w:w="3400"/>
            <w:shd w:fill="E8E4DC" w:val="clear"/>
          </w:tcPr>
          <w:p>
            <w:pPr>
              <w:spacing w:after="40" w:before="40"/>
            </w:pPr>
            <w:r>
              <w:rPr>
                <w:b/>
                <w:bCs/>
                <w:color w:val="1C2233"/>
                <w:sz w:val="20"/>
                <w:szCs w:val="20"/>
              </w:rPr>
              <w:t xml:space="preserve">CSS Class</w:t>
            </w:r>
          </w:p>
        </w:tc>
        <w:tc>
          <w:tcPr>
            <w:tcW w:type="dxa" w:w="3400"/>
            <w:shd w:fill="E8E4DC" w:val="clear"/>
          </w:tcPr>
          <w:p>
            <w:pPr>
              <w:spacing w:after="40" w:before="40"/>
            </w:pPr>
            <w:r>
              <w:rPr>
                <w:b/>
                <w:bCs/>
                <w:color w:val="1C2233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Progress Strip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.progress-strip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3px bar showing completion %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Game Header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.game-header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Sticky header with brand, round badge, score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Round Rail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.round-rail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14 dots showing progress (done/current/event)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Scene Card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.scene-card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Phase header + title + subtitle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Concept Box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.concept-box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Educational content with formula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Data Pack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.data-pack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Financial data table for the round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Lever Section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.lever-section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Container for 2–4 lever groups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Lever Group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.lever-group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Individual slider with label, display, track, hint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Impact Preview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.impact-preview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Real-time metrics grid (4–6 KPIs)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Board Response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.board-response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Post-submit feedback (green/saffron/red)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Principle Box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.principle-box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Cost accounting principle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Score Reveal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.score-reveal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Circle with marks + running total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2980B9"/>
        </w:rPr>
        <w:t xml:space="preserve">4.2 Theme System</w:t>
      </w:r>
    </w:p>
    <w:p>
      <w:pPr>
        <w:spacing w:after="120"/>
      </w:pPr>
      <w:r>
        <w:rPr>
          <w:color w:val="1C2233"/>
          <w:sz w:val="22"/>
          <w:szCs w:val="22"/>
        </w:rPr>
        <w:t xml:space="preserve">The simulator uses CSS custom properties for full dark/light theme support: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Light theme: defined on :root (default)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Dark theme: @media(prefers-color-scheme:dark) and [data-theme="dark"]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Key tokens: --saffron (#D97B2B), --neem (#1A8A5C), --loss (#C0392B), --blue (#2980B9)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All colors reference tokens — no hardcoded values in component styles</w:t>
      </w:r>
    </w:p>
    <w:p>
      <w:pPr>
        <w:pStyle w:val="Heading2"/>
        <w:spacing w:after="120" w:before="280"/>
      </w:pPr>
      <w:r>
        <w:rPr>
          <w:b/>
          <w:bCs/>
          <w:color w:val="2980B9"/>
        </w:rPr>
        <w:t xml:space="preserve">4.3 Responsive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Max-width container: 860px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@media(max-width:600px): stack scene stats, 2-column role grid, 2-column stats grid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Lever tracks use width:100% for full-width on all screens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Tables use overflow-x:auto for horizontal scrolling</w:t>
      </w:r>
    </w:p>
    <w:p>
      <w:r>
        <w:br w:type="page"/>
      </w:r>
    </w:p>
    <w:p>
      <w:pPr>
        <w:pStyle w:val="Heading1"/>
        <w:spacing w:after="120" w:before="400"/>
      </w:pPr>
      <w:r>
        <w:rPr>
          <w:b/>
          <w:bCs/>
          <w:color w:val="D97B2B"/>
        </w:rPr>
        <w:t xml:space="preserve">5. Round Specifications</w:t>
      </w:r>
    </w:p>
    <w:p>
      <w:pPr>
        <w:spacing w:after="120"/>
      </w:pPr>
      <w:r>
        <w:rPr>
          <w:color w:val="1C2233"/>
          <w:sz w:val="22"/>
          <w:szCs w:val="22"/>
        </w:rPr>
        <w:t xml:space="preserve">All 14 rounds with their lever configurations, scoring logic, and educational objectives:</w:t>
      </w:r>
    </w:p>
    <w:p>
      <w:pPr>
        <w:pStyle w:val="Heading3"/>
        <w:spacing w:after="120" w:before="280"/>
      </w:pPr>
      <w:r>
        <w:rPr>
          <w:b/>
          <w:bCs/>
          <w:color w:val="1C2233"/>
        </w:rPr>
        <w:t xml:space="preserve">Round 1: Sales Budget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Phase: </w:t>
      </w:r>
      <w:r>
        <w:rPr>
          <w:sz w:val="22"/>
          <w:szCs w:val="22"/>
        </w:rPr>
        <w:t xml:space="preserve">Build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Marks: </w:t>
      </w:r>
      <w:r>
        <w:rPr>
          <w:sz w:val="22"/>
          <w:szCs w:val="22"/>
        </w:rPr>
        <w:t xml:space="preserve">8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Levers: </w:t>
      </w:r>
      <w:r>
        <w:rPr>
          <w:sz w:val="22"/>
          <w:szCs w:val="22"/>
        </w:rPr>
        <w:t xml:space="preserve">salesVol (200K–260K), sellPrice (₹8,800–₹10,200)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Concept: </w:t>
      </w:r>
      <w:r>
        <w:rPr>
          <w:sz w:val="22"/>
          <w:szCs w:val="22"/>
        </w:rPr>
        <w:t xml:space="preserve">Sales budget drives everything downstream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Optimal Scoring: </w:t>
      </w:r>
      <w:r>
        <w:rPr>
          <w:sz w:val="22"/>
          <w:szCs w:val="22"/>
        </w:rPr>
        <w:t xml:space="preserve">Sweet spot: 232K–248K volume within 840K hrs capacity, price ₹9,300–₹9,600</w:t>
      </w:r>
    </w:p>
    <w:p>
      <w:pPr>
        <w:pStyle w:val="Heading3"/>
        <w:spacing w:after="120" w:before="280"/>
      </w:pPr>
      <w:r>
        <w:rPr>
          <w:b/>
          <w:bCs/>
          <w:color w:val="1C2233"/>
        </w:rPr>
        <w:t xml:space="preserve">Round 2: Production &amp; Inventory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Phase: </w:t>
      </w:r>
      <w:r>
        <w:rPr>
          <w:sz w:val="22"/>
          <w:szCs w:val="22"/>
        </w:rPr>
        <w:t xml:space="preserve">Build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Marks: </w:t>
      </w:r>
      <w:r>
        <w:rPr>
          <w:sz w:val="22"/>
          <w:szCs w:val="22"/>
        </w:rPr>
        <w:t xml:space="preserve">7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Levers: </w:t>
      </w:r>
      <w:r>
        <w:rPr>
          <w:sz w:val="22"/>
          <w:szCs w:val="22"/>
        </w:rPr>
        <w:t xml:space="preserve">closingFG (0–30K units), closingRM (0–150K kg)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Concept: </w:t>
      </w:r>
      <w:r>
        <w:rPr>
          <w:sz w:val="22"/>
          <w:szCs w:val="22"/>
        </w:rPr>
        <w:t xml:space="preserve">Usage drives COGS, purchases drive cash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Optimal Scoring: </w:t>
      </w:r>
      <w:r>
        <w:rPr>
          <w:sz w:val="22"/>
          <w:szCs w:val="22"/>
        </w:rPr>
        <w:t xml:space="preserve">FG 10K–20K, RM 60K–96K (warehouse limit), production within capacity</w:t>
      </w:r>
    </w:p>
    <w:p>
      <w:pPr>
        <w:pStyle w:val="Heading3"/>
        <w:spacing w:after="120" w:before="280"/>
      </w:pPr>
      <w:r>
        <w:rPr>
          <w:b/>
          <w:bCs/>
          <w:color w:val="1C2233"/>
        </w:rPr>
        <w:t xml:space="preserve">Round 3: Membrane Price Shock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Phase: </w:t>
      </w:r>
      <w:r>
        <w:rPr>
          <w:sz w:val="22"/>
          <w:szCs w:val="22"/>
        </w:rPr>
        <w:t xml:space="preserve">Build (Exceptional Event)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Marks: </w:t>
      </w:r>
      <w:r>
        <w:rPr>
          <w:sz w:val="22"/>
          <w:szCs w:val="22"/>
        </w:rPr>
        <w:t xml:space="preserve">6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Levers: </w:t>
      </w:r>
      <w:r>
        <w:rPr>
          <w:sz w:val="22"/>
          <w:szCs w:val="22"/>
        </w:rPr>
        <w:t xml:space="preserve">fireRateRevision (hold/revise), fireReporting (single/dual)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Concept: </w:t>
      </w:r>
      <w:r>
        <w:rPr>
          <w:sz w:val="22"/>
          <w:szCs w:val="22"/>
        </w:rPr>
        <w:t xml:space="preserve">Standard integrity vs. honest reforecast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Optimal Scoring: </w:t>
      </w:r>
      <w:r>
        <w:rPr>
          <w:sz w:val="22"/>
          <w:szCs w:val="22"/>
        </w:rPr>
        <w:t xml:space="preserve">Hold standard + maintain separate reforecast = optimal</w:t>
      </w:r>
    </w:p>
    <w:p>
      <w:pPr>
        <w:pStyle w:val="Heading3"/>
        <w:spacing w:after="120" w:before="280"/>
      </w:pPr>
      <w:r>
        <w:rPr>
          <w:b/>
          <w:bCs/>
          <w:color w:val="1C2233"/>
        </w:rPr>
        <w:t xml:space="preserve">Round 4: Labour &amp; Headcount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Phase: </w:t>
      </w:r>
      <w:r>
        <w:rPr>
          <w:sz w:val="22"/>
          <w:szCs w:val="22"/>
        </w:rPr>
        <w:t xml:space="preserve">Build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Marks: </w:t>
      </w:r>
      <w:r>
        <w:rPr>
          <w:sz w:val="22"/>
          <w:szCs w:val="22"/>
        </w:rPr>
        <w:t xml:space="preserve">8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Levers: </w:t>
      </w:r>
      <w:r>
        <w:rPr>
          <w:sz w:val="22"/>
          <w:szCs w:val="22"/>
        </w:rPr>
        <w:t xml:space="preserve">headcount (400–650), redeployPct (0–100%)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Concept: </w:t>
      </w:r>
      <w:r>
        <w:rPr>
          <w:sz w:val="22"/>
          <w:szCs w:val="22"/>
        </w:rPr>
        <w:t xml:space="preserve">Invisible inefficiency in padded headcount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Optimal Scoring: </w:t>
      </w:r>
      <w:r>
        <w:rPr>
          <w:sz w:val="22"/>
          <w:szCs w:val="22"/>
        </w:rPr>
        <w:t xml:space="preserve">Right-size to ~487 + redeploy surplus to AMC business</w:t>
      </w:r>
    </w:p>
    <w:p>
      <w:pPr>
        <w:pStyle w:val="Heading3"/>
        <w:spacing w:after="120" w:before="280"/>
      </w:pPr>
      <w:r>
        <w:rPr>
          <w:b/>
          <w:bCs/>
          <w:color w:val="1C2233"/>
        </w:rPr>
        <w:t xml:space="preserve">Round 5: Overhead Allocation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Phase: </w:t>
      </w:r>
      <w:r>
        <w:rPr>
          <w:sz w:val="22"/>
          <w:szCs w:val="22"/>
        </w:rPr>
        <w:t xml:space="preserve">Build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Marks: </w:t>
      </w:r>
      <w:r>
        <w:rPr>
          <w:sz w:val="22"/>
          <w:szCs w:val="22"/>
        </w:rPr>
        <w:t xml:space="preserve">7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Levers: </w:t>
      </w:r>
      <w:r>
        <w:rPr>
          <w:sz w:val="22"/>
          <w:szCs w:val="22"/>
        </w:rPr>
        <w:t xml:space="preserve">denomHrs (750K–1.1M hrs)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Concept: </w:t>
      </w:r>
      <w:r>
        <w:rPr>
          <w:sz w:val="22"/>
          <w:szCs w:val="22"/>
        </w:rPr>
        <w:t xml:space="preserve">The denominator is a policy choice, not a fact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Optimal Scoring: </w:t>
      </w:r>
      <w:r>
        <w:rPr>
          <w:sz w:val="22"/>
          <w:szCs w:val="22"/>
        </w:rPr>
        <w:t xml:space="preserve">Practical capacity (1.05M) is strongest; normal (900K) is pragmatic</w:t>
      </w:r>
    </w:p>
    <w:p>
      <w:pPr>
        <w:pStyle w:val="Heading3"/>
        <w:spacing w:after="120" w:before="280"/>
      </w:pPr>
      <w:r>
        <w:rPr>
          <w:b/>
          <w:bCs/>
          <w:color w:val="1C2233"/>
        </w:rPr>
        <w:t xml:space="preserve">Round 6: Paint Shop Fire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Phase: </w:t>
      </w:r>
      <w:r>
        <w:rPr>
          <w:sz w:val="22"/>
          <w:szCs w:val="22"/>
        </w:rPr>
        <w:t xml:space="preserve">Build (Exceptional Event)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Marks: </w:t>
      </w:r>
      <w:r>
        <w:rPr>
          <w:sz w:val="22"/>
          <w:szCs w:val="22"/>
        </w:rPr>
        <w:t xml:space="preserve">6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Levers: </w:t>
      </w:r>
      <w:r>
        <w:rPr>
          <w:sz w:val="22"/>
          <w:szCs w:val="22"/>
        </w:rPr>
        <w:t xml:space="preserve">fireRateRevision (hold/revise), fireReporting (plant/exceptional)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Concept: </w:t>
      </w:r>
      <w:r>
        <w:rPr>
          <w:sz w:val="22"/>
          <w:szCs w:val="22"/>
        </w:rPr>
        <w:t xml:space="preserve">Separate effectiveness from efficiency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Optimal Scoring: </w:t>
      </w:r>
      <w:r>
        <w:rPr>
          <w:sz w:val="22"/>
          <w:szCs w:val="22"/>
        </w:rPr>
        <w:t xml:space="preserve">Hold rate + report as exceptional = optimal</w:t>
      </w:r>
    </w:p>
    <w:p>
      <w:pPr>
        <w:pStyle w:val="Heading3"/>
        <w:spacing w:after="120" w:before="280"/>
      </w:pPr>
      <w:r>
        <w:rPr>
          <w:b/>
          <w:bCs/>
          <w:color w:val="1C2233"/>
        </w:rPr>
        <w:t xml:space="preserve">Round 7: Non-Mfg Costs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Phase: </w:t>
      </w:r>
      <w:r>
        <w:rPr>
          <w:sz w:val="22"/>
          <w:szCs w:val="22"/>
        </w:rPr>
        <w:t xml:space="preserve">Build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Marks: </w:t>
      </w:r>
      <w:r>
        <w:rPr>
          <w:sz w:val="22"/>
          <w:szCs w:val="22"/>
        </w:rPr>
        <w:t xml:space="preserve">6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Levers: </w:t>
      </w:r>
      <w:r>
        <w:rPr>
          <w:sz w:val="22"/>
          <w:szCs w:val="22"/>
        </w:rPr>
        <w:t xml:space="preserve">adBudget (₹5–15 Cr), rndBudget (₹0–6 Cr), serviceCost (₹150–280)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Concept: </w:t>
      </w:r>
      <w:r>
        <w:rPr>
          <w:sz w:val="22"/>
          <w:szCs w:val="22"/>
        </w:rPr>
        <w:t xml:space="preserve">Discretionary cuts are most dangerous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Optimal Scoring: </w:t>
      </w:r>
      <w:r>
        <w:rPr>
          <w:sz w:val="22"/>
          <w:szCs w:val="22"/>
        </w:rPr>
        <w:t xml:space="preserve">Protect ad ≥12 Cr + R&amp;D ≥3.5 Cr, present gap honestly</w:t>
      </w:r>
    </w:p>
    <w:p>
      <w:pPr>
        <w:pStyle w:val="Heading3"/>
        <w:spacing w:after="120" w:before="280"/>
      </w:pPr>
      <w:r>
        <w:rPr>
          <w:b/>
          <w:bCs/>
          <w:color w:val="1C2233"/>
        </w:rPr>
        <w:t xml:space="preserve">Round 8: Cash Budget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Phase: </w:t>
      </w:r>
      <w:r>
        <w:rPr>
          <w:sz w:val="22"/>
          <w:szCs w:val="22"/>
        </w:rPr>
        <w:t xml:space="preserve">Build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Marks: </w:t>
      </w:r>
      <w:r>
        <w:rPr>
          <w:sz w:val="22"/>
          <w:szCs w:val="22"/>
        </w:rPr>
        <w:t xml:space="preserve">5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Levers: </w:t>
      </w:r>
      <w:r>
        <w:rPr>
          <w:sz w:val="22"/>
          <w:szCs w:val="22"/>
        </w:rPr>
        <w:t xml:space="preserve">creditDays (30–60), odEnhancement (₹0–15 Cr)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Concept: </w:t>
      </w:r>
      <w:r>
        <w:rPr>
          <w:sz w:val="22"/>
          <w:szCs w:val="22"/>
        </w:rPr>
        <w:t xml:space="preserve">Profitable on paper can be uncashable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Optimal Scoring: </w:t>
      </w:r>
      <w:r>
        <w:rPr>
          <w:sz w:val="22"/>
          <w:szCs w:val="22"/>
        </w:rPr>
        <w:t xml:space="preserve">OD enhancement ₹5–12 Cr, credit days 40–50</w:t>
      </w:r>
    </w:p>
    <w:p>
      <w:pPr>
        <w:pStyle w:val="Heading3"/>
        <w:spacing w:after="120" w:before="280"/>
      </w:pPr>
      <w:r>
        <w:rPr>
          <w:b/>
          <w:bCs/>
          <w:color w:val="1C2233"/>
        </w:rPr>
        <w:t xml:space="preserve">Round 9: Standard Cost Card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Phase: </w:t>
      </w:r>
      <w:r>
        <w:rPr>
          <w:sz w:val="22"/>
          <w:szCs w:val="22"/>
        </w:rPr>
        <w:t xml:space="preserve">Standards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Marks: </w:t>
      </w:r>
      <w:r>
        <w:rPr>
          <w:sz w:val="22"/>
          <w:szCs w:val="22"/>
        </w:rPr>
        <w:t xml:space="preserve">10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Levers: </w:t>
      </w:r>
      <w:r>
        <w:rPr>
          <w:sz w:val="22"/>
          <w:szCs w:val="22"/>
        </w:rPr>
        <w:t xml:space="preserve">stdMatQty (3.50–4.20 kg), stdLabHrs (3.00–3.80), stdVOHRate (₹120–155), improvTarget (0–8%)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Concept: </w:t>
      </w:r>
      <w:r>
        <w:rPr>
          <w:sz w:val="22"/>
          <w:szCs w:val="22"/>
        </w:rPr>
        <w:t xml:space="preserve">The Fortune 500 discovery — allowable waste &gt; total profits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Optimal Scoring: </w:t>
      </w:r>
      <w:r>
        <w:rPr>
          <w:sz w:val="22"/>
          <w:szCs w:val="22"/>
        </w:rPr>
        <w:t xml:space="preserve">Achievable standards + 2–6% improvement target tracked separately</w:t>
      </w:r>
    </w:p>
    <w:p>
      <w:pPr>
        <w:pStyle w:val="Heading3"/>
        <w:spacing w:after="120" w:before="280"/>
      </w:pPr>
      <w:r>
        <w:rPr>
          <w:b/>
          <w:bCs/>
          <w:color w:val="1C2233"/>
        </w:rPr>
        <w:t xml:space="preserve">Round 10: Padded Standard Revealed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Phase: </w:t>
      </w:r>
      <w:r>
        <w:rPr>
          <w:sz w:val="22"/>
          <w:szCs w:val="22"/>
        </w:rPr>
        <w:t xml:space="preserve">Standards (Exceptional Event)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Marks: </w:t>
      </w:r>
      <w:r>
        <w:rPr>
          <w:sz w:val="22"/>
          <w:szCs w:val="22"/>
        </w:rPr>
        <w:t xml:space="preserve">5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Levers: </w:t>
      </w:r>
      <w:r>
        <w:rPr>
          <w:sz w:val="22"/>
          <w:szCs w:val="22"/>
        </w:rPr>
        <w:t xml:space="preserve">correctionPct (0–100%), disclosureLevel (0–2), processChange (0/1)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Concept: </w:t>
      </w:r>
      <w:r>
        <w:rPr>
          <w:sz w:val="22"/>
          <w:szCs w:val="22"/>
        </w:rPr>
        <w:t xml:space="preserve">Padding persists because the system rewards it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Optimal Scoring: </w:t>
      </w:r>
      <w:r>
        <w:rPr>
          <w:sz w:val="22"/>
          <w:szCs w:val="22"/>
        </w:rPr>
        <w:t xml:space="preserve">Full correction + full disclosure + annual re-certification</w:t>
      </w:r>
    </w:p>
    <w:p>
      <w:pPr>
        <w:pStyle w:val="Heading3"/>
        <w:spacing w:after="120" w:before="280"/>
      </w:pPr>
      <w:r>
        <w:rPr>
          <w:b/>
          <w:bCs/>
          <w:color w:val="1C2233"/>
        </w:rPr>
        <w:t xml:space="preserve">Round 11: Flexible Budget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Phase: </w:t>
      </w:r>
      <w:r>
        <w:rPr>
          <w:sz w:val="22"/>
          <w:szCs w:val="22"/>
        </w:rPr>
        <w:t xml:space="preserve">Analysis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Marks: </w:t>
      </w:r>
      <w:r>
        <w:rPr>
          <w:sz w:val="22"/>
          <w:szCs w:val="22"/>
        </w:rPr>
        <w:t xml:space="preserve">8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Levers: </w:t>
      </w:r>
      <w:r>
        <w:rPr>
          <w:sz w:val="22"/>
          <w:szCs w:val="22"/>
        </w:rPr>
        <w:t xml:space="preserve">volAttribExceptional (0–100%)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Concept: </w:t>
      </w:r>
      <w:r>
        <w:rPr>
          <w:sz w:val="22"/>
          <w:szCs w:val="22"/>
        </w:rPr>
        <w:t xml:space="preserve">Flex to actual output, then attribute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Optimal Scoring: </w:t>
      </w:r>
      <w:r>
        <w:rPr>
          <w:sz w:val="22"/>
          <w:szCs w:val="22"/>
        </w:rPr>
        <w:t xml:space="preserve">100% exceptional attribution (fire was uncontrollable)</w:t>
      </w:r>
    </w:p>
    <w:p>
      <w:pPr>
        <w:pStyle w:val="Heading3"/>
        <w:spacing w:after="120" w:before="280"/>
      </w:pPr>
      <w:r>
        <w:rPr>
          <w:b/>
          <w:bCs/>
          <w:color w:val="1C2233"/>
        </w:rPr>
        <w:t xml:space="preserve">Round 12: Variance Investigation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Phase: </w:t>
      </w:r>
      <w:r>
        <w:rPr>
          <w:sz w:val="22"/>
          <w:szCs w:val="22"/>
        </w:rPr>
        <w:t xml:space="preserve">Analysis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Marks: </w:t>
      </w:r>
      <w:r>
        <w:rPr>
          <w:sz w:val="22"/>
          <w:szCs w:val="22"/>
        </w:rPr>
        <w:t xml:space="preserve">6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Levers: </w:t>
      </w:r>
      <w:r>
        <w:rPr>
          <w:sz w:val="22"/>
          <w:szCs w:val="22"/>
        </w:rPr>
        <w:t xml:space="preserve">investigateThreshold (1–15%), investigateCount (1–9)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Concept: </w:t>
      </w:r>
      <w:r>
        <w:rPr>
          <w:sz w:val="22"/>
          <w:szCs w:val="22"/>
        </w:rPr>
        <w:t xml:space="preserve">Investigation has a cost-benefit tradeoff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Optimal Scoring: </w:t>
      </w:r>
      <w:r>
        <w:rPr>
          <w:sz w:val="22"/>
          <w:szCs w:val="22"/>
        </w:rPr>
        <w:t xml:space="preserve">3–5 variances, 3–7% threshold</w:t>
      </w:r>
    </w:p>
    <w:p>
      <w:pPr>
        <w:pStyle w:val="Heading3"/>
        <w:spacing w:after="120" w:before="280"/>
      </w:pPr>
      <w:r>
        <w:rPr>
          <w:b/>
          <w:bCs/>
          <w:color w:val="1C2233"/>
        </w:rPr>
        <w:t xml:space="preserve">Round 13: Institutional Order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Phase: </w:t>
      </w:r>
      <w:r>
        <w:rPr>
          <w:sz w:val="22"/>
          <w:szCs w:val="22"/>
        </w:rPr>
        <w:t xml:space="preserve">Analysis (Exceptional Event)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Marks: </w:t>
      </w:r>
      <w:r>
        <w:rPr>
          <w:sz w:val="22"/>
          <w:szCs w:val="22"/>
        </w:rPr>
        <w:t xml:space="preserve">5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Levers: </w:t>
      </w:r>
      <w:r>
        <w:rPr>
          <w:sz w:val="22"/>
          <w:szCs w:val="22"/>
        </w:rPr>
        <w:t xml:space="preserve">instAcceptVol (0–18K), instReporting (combined/separate)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Concept: </w:t>
      </w:r>
      <w:r>
        <w:rPr>
          <w:sz w:val="22"/>
          <w:szCs w:val="22"/>
        </w:rPr>
        <w:t xml:space="preserve">The number was right, the process was wrong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Optimal Scoring: </w:t>
      </w:r>
      <w:r>
        <w:rPr>
          <w:sz w:val="22"/>
          <w:szCs w:val="22"/>
        </w:rPr>
        <w:t xml:space="preserve">Accept full order + separate channel reporting</w:t>
      </w:r>
    </w:p>
    <w:p>
      <w:pPr>
        <w:pStyle w:val="Heading3"/>
        <w:spacing w:after="120" w:before="280"/>
      </w:pPr>
      <w:r>
        <w:rPr>
          <w:b/>
          <w:bCs/>
          <w:color w:val="1C2233"/>
        </w:rPr>
        <w:t xml:space="preserve">Round 14: Responsibility Accounting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Phase: </w:t>
      </w:r>
      <w:r>
        <w:rPr>
          <w:sz w:val="22"/>
          <w:szCs w:val="22"/>
        </w:rPr>
        <w:t xml:space="preserve">Final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Marks: </w:t>
      </w:r>
      <w:r>
        <w:rPr>
          <w:sz w:val="22"/>
          <w:szCs w:val="22"/>
        </w:rPr>
        <w:t xml:space="preserve">13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Levers: </w:t>
      </w:r>
      <w:r>
        <w:rPr>
          <w:sz w:val="22"/>
          <w:szCs w:val="22"/>
        </w:rPr>
        <w:t xml:space="preserve">finalCtrlSplit (0–2), finalResponseEval (0/1)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Concept: </w:t>
      </w:r>
      <w:r>
        <w:rPr>
          <w:sz w:val="22"/>
          <w:szCs w:val="22"/>
        </w:rPr>
        <w:t xml:space="preserve">Equate responsibility with controllability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Optimal Scoring: </w:t>
      </w:r>
      <w:r>
        <w:rPr>
          <w:sz w:val="22"/>
          <w:szCs w:val="22"/>
        </w:rPr>
        <w:t xml:space="preserve">Ctrl/Unctrl split + response evaluation = strongest</w:t>
      </w:r>
    </w:p>
    <w:p>
      <w:r>
        <w:br w:type="page"/>
      </w:r>
    </w:p>
    <w:p>
      <w:pPr>
        <w:pStyle w:val="Heading1"/>
        <w:spacing w:after="120" w:before="400"/>
      </w:pPr>
      <w:r>
        <w:rPr>
          <w:b/>
          <w:bCs/>
          <w:color w:val="D97B2B"/>
        </w:rPr>
        <w:t xml:space="preserve">6. Results Engine</w:t>
      </w:r>
    </w:p>
    <w:p>
      <w:pPr>
        <w:pStyle w:val="Heading2"/>
        <w:spacing w:after="120" w:before="280"/>
      </w:pPr>
      <w:r>
        <w:rPr>
          <w:b/>
          <w:bCs/>
          <w:color w:val="2980B9"/>
        </w:rPr>
        <w:t xml:space="preserve">6.1 Grading Scale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3400"/>
      </w:tblGrid>
      <w:tr>
        <w:tc>
          <w:tcPr>
            <w:tcW w:type="dxa" w:w="3200"/>
            <w:shd w:fill="E8E4DC" w:val="clear"/>
          </w:tcPr>
          <w:p>
            <w:pPr>
              <w:spacing w:after="40" w:before="40"/>
            </w:pPr>
            <w:r>
              <w:rPr>
                <w:b/>
                <w:bCs/>
                <w:color w:val="1C2233"/>
                <w:sz w:val="20"/>
                <w:szCs w:val="20"/>
              </w:rPr>
              <w:t xml:space="preserve">Grade</w:t>
            </w:r>
          </w:p>
        </w:tc>
        <w:tc>
          <w:tcPr>
            <w:tcW w:type="dxa" w:w="3400"/>
            <w:shd w:fill="E8E4DC" w:val="clear"/>
          </w:tcPr>
          <w:p>
            <w:pPr>
              <w:spacing w:after="40" w:before="40"/>
            </w:pPr>
            <w:r>
              <w:rPr>
                <w:b/>
                <w:bCs/>
                <w:color w:val="1C2233"/>
                <w:sz w:val="20"/>
                <w:szCs w:val="20"/>
              </w:rPr>
              <w:t xml:space="preserve">Threshold</w:t>
            </w:r>
          </w:p>
        </w:tc>
        <w:tc>
          <w:tcPr>
            <w:tcW w:type="dxa" w:w="3400"/>
            <w:shd w:fill="E8E4DC" w:val="clear"/>
          </w:tcPr>
          <w:p>
            <w:pPr>
              <w:spacing w:after="40" w:before="40"/>
            </w:pPr>
            <w:r>
              <w:rPr>
                <w:b/>
                <w:bCs/>
                <w:color w:val="1C2233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Distinction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≥85%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Mastery of cost accounting principles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Merit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70–84%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Strong understanding with minor gaps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Pass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55–69%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Adequate understanding, some conceptual misses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Marginal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45–54%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Below expectations, significant gaps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Fail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&lt;45%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Fundamental misunderstanding of key concepts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2980B9"/>
        </w:rPr>
        <w:t xml:space="preserve">6.2 Executive Profiles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3400"/>
      </w:tblGrid>
      <w:tr>
        <w:tc>
          <w:tcPr>
            <w:tcW w:type="dxa" w:w="3200"/>
            <w:shd w:fill="E8E4DC" w:val="clear"/>
          </w:tcPr>
          <w:p>
            <w:pPr>
              <w:spacing w:after="40" w:before="40"/>
            </w:pPr>
            <w:r>
              <w:rPr>
                <w:b/>
                <w:bCs/>
                <w:color w:val="1C2233"/>
                <w:sz w:val="20"/>
                <w:szCs w:val="20"/>
              </w:rPr>
              <w:t xml:space="preserve">Profile</w:t>
            </w:r>
          </w:p>
        </w:tc>
        <w:tc>
          <w:tcPr>
            <w:tcW w:type="dxa" w:w="3400"/>
            <w:shd w:fill="E8E4DC" w:val="clear"/>
          </w:tcPr>
          <w:p>
            <w:pPr>
              <w:spacing w:after="40" w:before="40"/>
            </w:pPr>
            <w:r>
              <w:rPr>
                <w:b/>
                <w:bCs/>
                <w:color w:val="1C2233"/>
                <w:sz w:val="20"/>
                <w:szCs w:val="20"/>
              </w:rPr>
              <w:t xml:space="preserve">Min %</w:t>
            </w:r>
          </w:p>
        </w:tc>
        <w:tc>
          <w:tcPr>
            <w:tcW w:type="dxa" w:w="3400"/>
            <w:shd w:fill="E8E4DC" w:val="clear"/>
          </w:tcPr>
          <w:p>
            <w:pPr>
              <w:spacing w:after="40" w:before="40"/>
            </w:pPr>
            <w:r>
              <w:rPr>
                <w:b/>
                <w:bCs/>
                <w:color w:val="1C2233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The Balanced Controller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80%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The profile the module is designed to produce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The Controllability Purist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65%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Correctly separates controllable/uncontrollable but avoids accountability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The Volume Chaser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50%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Focused on revenue, under-weights attribution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The Padder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35%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Builds buffers, produces reliably favourable but meaningless variances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The Blamer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0%</w:t>
            </w:r>
          </w:p>
        </w:tc>
        <w:tc>
          <w:tcPr>
            <w:tcW w:type="dxa" w:w="34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Assigns unfavourable to others, retains favourable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2980B9"/>
        </w:rPr>
        <w:t xml:space="preserve">6.3 Results Screen Components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Grade circle with percentage and classification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Executive profile name and description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Stats grid: total score, percentage, rounds, budgeted GP, actual GP, total variance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Variance waterfall chart (12 bars: budget GP through 10 variances to actual GP)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Standard cost card built from student’s R9 decisions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Attribution matrix: each variance mapped to centre, controllability, and source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Round-by-round performance 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Five closing principles from Horngren</w:t>
      </w:r>
    </w:p>
    <w:p>
      <w:r>
        <w:br w:type="page"/>
      </w:r>
    </w:p>
    <w:p>
      <w:pPr>
        <w:pStyle w:val="Heading1"/>
        <w:spacing w:after="120" w:before="400"/>
      </w:pPr>
      <w:r>
        <w:rPr>
          <w:b/>
          <w:bCs/>
          <w:color w:val="D97B2B"/>
        </w:rPr>
        <w:t xml:space="preserve">7. Extending the Simulator</w:t>
      </w:r>
    </w:p>
    <w:p>
      <w:pPr>
        <w:pStyle w:val="Heading2"/>
        <w:spacing w:after="120" w:before="280"/>
      </w:pPr>
      <w:r>
        <w:rPr>
          <w:b/>
          <w:bCs/>
          <w:color w:val="2980B9"/>
        </w:rPr>
        <w:t xml:space="preserve">7.1 Adding a New Round</w:t>
      </w:r>
    </w:p>
    <w:p>
      <w:pPr>
        <w:spacing w:after="120"/>
      </w:pPr>
      <w:r>
        <w:rPr>
          <w:color w:val="1C2233"/>
          <w:sz w:val="22"/>
          <w:szCs w:val="22"/>
        </w:rPr>
        <w:t xml:space="preserve">To add a round, append an object to the ROUNDS array following the schema in Section 2.3. Update TOTAL constant and adjust the round rail rendering.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Define 2–4 levers with id, label, min, max, step, default, format, hints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Write computeImpact(values) returning an array of {l, v, cls} metric objects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Write score(values) returning a quality score 0–4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Write feedback(values, score) returning {cls, icon, title, text, sub}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Add a principle string</w:t>
      </w:r>
    </w:p>
    <w:p>
      <w:pPr>
        <w:pStyle w:val="Heading2"/>
        <w:spacing w:after="120" w:before="280"/>
      </w:pPr>
      <w:r>
        <w:rPr>
          <w:b/>
          <w:bCs/>
          <w:color w:val="2980B9"/>
        </w:rPr>
        <w:t xml:space="preserve">7.2 Adding a New Lever Format</w:t>
      </w:r>
    </w:p>
    <w:p>
      <w:pPr>
        <w:spacing w:after="120"/>
      </w:pPr>
      <w:r>
        <w:rPr>
          <w:color w:val="1C2233"/>
          <w:sz w:val="22"/>
          <w:szCs w:val="22"/>
        </w:rPr>
        <w:t xml:space="preserve">To add a new format type (e.g., dropdown, multi-select):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Add the format name to leverHTML() for rendering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Add the format to window.updateLever() for display formatting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Ensure the value is stored in S[lever.id]</w:t>
      </w:r>
    </w:p>
    <w:p>
      <w:pPr>
        <w:pStyle w:val="Heading2"/>
        <w:spacing w:after="120" w:before="280"/>
      </w:pPr>
      <w:r>
        <w:rPr>
          <w:b/>
          <w:bCs/>
          <w:color w:val="2980B9"/>
        </w:rPr>
        <w:t xml:space="preserve">7.3 Deployment</w:t>
      </w:r>
    </w:p>
    <w:p>
      <w:pPr>
        <w:spacing w:after="120"/>
      </w:pPr>
      <w:r>
        <w:rPr>
          <w:color w:val="1C2233"/>
          <w:sz w:val="22"/>
          <w:szCs w:val="22"/>
        </w:rPr>
        <w:t xml:space="preserve">The simulator is a single HTML file with no dependencies. Deploy by: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Copying zenith-appliances.html to any static file server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GitHub Pages: push to the repository, enable Pages on the main branch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 build step, no server-side processing, no database required</w:t>
      </w:r>
    </w:p>
    <w:p>
      <w:pPr>
        <w:pStyle w:val="Heading2"/>
        <w:spacing w:after="120" w:before="280"/>
      </w:pPr>
      <w:r>
        <w:rPr>
          <w:b/>
          <w:bCs/>
          <w:color w:val="2980B9"/>
        </w:rPr>
        <w:t xml:space="preserve">7.4 Repository Structure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00"/>
      </w:tblGrid>
      <w:tr>
        <w:tc>
          <w:tcPr>
            <w:tcW w:type="dxa" w:w="3200"/>
            <w:shd w:fill="E8E4DC" w:val="clear"/>
          </w:tcPr>
          <w:p>
            <w:pPr>
              <w:spacing w:after="40" w:before="40"/>
            </w:pPr>
            <w:r>
              <w:rPr>
                <w:b/>
                <w:bCs/>
                <w:color w:val="1C2233"/>
                <w:sz w:val="20"/>
                <w:szCs w:val="20"/>
              </w:rPr>
              <w:t xml:space="preserve">Path</w:t>
            </w:r>
          </w:p>
        </w:tc>
        <w:tc>
          <w:tcPr>
            <w:tcW w:type="dxa" w:w="6800"/>
            <w:shd w:fill="E8E4DC" w:val="clear"/>
          </w:tcPr>
          <w:p>
            <w:pPr>
              <w:spacing w:after="40" w:before="40"/>
            </w:pPr>
            <w:r>
              <w:rPr>
                <w:b/>
                <w:bCs/>
                <w:color w:val="1C2233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cost-accounting/index.html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Hub landing page for Cost Accounting simulators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cost-accounting/zenith-appliances.html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The Zenith Appliances lever-style simulator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entrepreneurship-simulators/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2233"/>
                <w:sz w:val="20"/>
                <w:szCs w:val="20"/>
              </w:rPr>
              <w:t xml:space="preserve">Other SimuLok simulators (DesiEats, NimbooWala, etc.)</w:t>
            </w:r>
          </w:p>
        </w:tc>
      </w:tr>
    </w:tbl>
    <w:p>
      <w:pPr>
        <w:pBdr>
          <w:bottom w:val="single" w:color="7E8490" w:sz="1"/>
        </w:pBdr>
        <w:spacing w:after="200" w:before="200"/>
      </w:pPr>
    </w:p>
    <w:p>
      <w:pPr>
        <w:spacing w:before="400"/>
        <w:jc w:val="center"/>
      </w:pPr>
      <w:r>
        <w:rPr>
          <w:i/>
          <w:iCs/>
          <w:color w:val="7E8490"/>
          <w:sz w:val="20"/>
          <w:szCs w:val="20"/>
        </w:rPr>
        <w:t xml:space="preserve">SimuLok — India’s Business Simulation Platform</w:t>
      </w:r>
    </w:p>
    <w:p>
      <w:pPr>
        <w:jc w:val="center"/>
      </w:pPr>
      <w:r>
        <w:rPr>
          <w:color w:val="7E8490"/>
          <w:sz w:val="18"/>
          <w:szCs w:val="18"/>
        </w:rPr>
        <w:t xml:space="preserve">Document generated September 2026</w:t>
      </w:r>
    </w:p>
    <w:sectPr>
      <w:pgSz w:w="12240" w:h="15840" w:orient="portrait"/>
      <w:pgMar w:top="12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15"/>
      </w:pPr>
    </w:lvl>
    <w:lvl w:ilvl="1" w15:tentative="1">
      <w:start w:val="1"/>
      <w:numFmt w:val="bullet"/>
      <w:lvlText w:val="◦"/>
      <w:lvlJc w:val="left"/>
      <w:pPr>
        <w:ind w:left="863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2026-09-04T01:07:11.031Z</dcterms:created>
  <dcterms:modified xsi:type="dcterms:W3CDTF">2026-09-04T01:07:11.038Z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