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Georgia" w:cs="Georgia" w:eastAsia="Georgia" w:hAnsi="Georgia"/>
          <w:b/>
          <w:bCs/>
          <w:color w:val="D97B2B"/>
          <w:sz w:val="52"/>
          <w:szCs w:val="52"/>
        </w:rPr>
        <w:t xml:space="preserve">SIMULOK</w:t>
      </w:r>
    </w:p>
    <w:p>
      <w:pPr>
        <w:spacing w:before="200"/>
        <w:jc w:val="center"/>
      </w:pPr>
      <w:r>
        <w:rPr>
          <w:rFonts w:ascii="Georgia" w:cs="Georgia" w:eastAsia="Georgia" w:hAnsi="Georgia"/>
          <w:b/>
          <w:bCs/>
          <w:color w:val="1C2233"/>
          <w:sz w:val="40"/>
          <w:szCs w:val="40"/>
        </w:rPr>
        <w:t xml:space="preserve">The Annual Budget War Room</w:t>
      </w:r>
    </w:p>
    <w:p>
      <w:pPr>
        <w:spacing w:before="200"/>
        <w:jc w:val="center"/>
      </w:pPr>
      <w:r>
        <w:rPr>
          <w:rFonts w:ascii="Georgia" w:cs="Georgia" w:eastAsia="Georgia" w:hAnsi="Georgia"/>
          <w:color w:val="2980B9"/>
          <w:sz w:val="34"/>
          <w:szCs w:val="34"/>
        </w:rPr>
        <w:t xml:space="preserve">Student Handbook</w:t>
      </w:r>
    </w:p>
    <w:p>
      <w:pPr>
        <w:spacing w:before="400"/>
        <w:jc w:val="center"/>
      </w:pPr>
      <w:r>
        <w:rPr>
          <w:i/>
          <w:iCs/>
          <w:color w:val="7E8490"/>
          <w:sz w:val="24"/>
          <w:szCs w:val="24"/>
        </w:rPr>
        <w:t xml:space="preserve">Zenith Appliances Ltd. — Aurangabad</w:t>
      </w:r>
    </w:p>
    <w:p>
      <w:pPr>
        <w:spacing w:before="200"/>
        <w:jc w:val="center"/>
      </w:pPr>
      <w:r>
        <w:rPr>
          <w:color w:val="7E8490"/>
          <w:sz w:val="22"/>
          <w:szCs w:val="22"/>
        </w:rPr>
        <w:t xml:space="preserve">Operating Costing &amp; Budgetary Control Simulator</w:t>
      </w:r>
    </w:p>
    <w:p>
      <w:pPr>
        <w:spacing w:before="600"/>
        <w:jc w:val="center"/>
      </w:pPr>
      <w:r>
        <w:rPr>
          <w:color w:val="7E8490"/>
          <w:sz w:val="20"/>
          <w:szCs w:val="20"/>
        </w:rPr>
        <w:t xml:space="preserve">Based on Horngren's Cost Accounting</w:t>
      </w:r>
    </w:p>
    <w:p>
      <w:pPr>
        <w:spacing w:before="200"/>
        <w:jc w:val="center"/>
      </w:pPr>
      <w:r>
        <w:rPr>
          <w:color w:val="7E8490"/>
          <w:sz w:val="20"/>
          <w:szCs w:val="20"/>
        </w:rPr>
        <w:t xml:space="preserve">Designed for Executive MBA</w:t>
      </w:r>
    </w:p>
    <w:p>
      <w:r>
        <w:br w:type="page"/>
      </w:r>
    </w:p>
    <w:p>
      <w:pPr>
        <w:pStyle w:val="Heading1"/>
        <w:spacing w:after="120" w:before="400"/>
      </w:pPr>
      <w:r>
        <w:rPr>
          <w:b/>
          <w:bCs/>
          <w:color w:val="D97B2B"/>
        </w:rPr>
        <w:t xml:space="preserve">Welcome, CFO</w:t>
      </w:r>
    </w:p>
    <w:p>
      <w:pPr>
        <w:pBdr>
          <w:left w:val="single" w:color="D97B2B" w:sz="6" w:space="8"/>
        </w:pBdr>
        <w:spacing w:after="80" w:before="160"/>
        <w:ind w:left="576"/>
      </w:pPr>
      <w:r>
        <w:rPr>
          <w:i/>
          <w:iCs/>
          <w:sz w:val="22"/>
          <w:szCs w:val="22"/>
        </w:rPr>
        <w:t xml:space="preserve">"Last year we budgeted eighty-two crore and delivered fifty-one. Every functional head has explained, persuasively, why it was not their fault. Collectively they have explained away thirty-one crore. I would like this year to be different. Not the number — the explanation."</w:t>
      </w:r>
    </w:p>
    <w:p>
      <w:pPr>
        <w:spacing w:after="160"/>
        <w:ind w:left="576"/>
      </w:pPr>
      <w:r>
        <w:rPr>
          <w:b/>
          <w:bCs/>
          <w:color w:val="D97B2B"/>
          <w:sz w:val="20"/>
          <w:szCs w:val="20"/>
        </w:rPr>
        <w:t xml:space="preserve">— Vikram Sethi, Managing Director, Zenith Appliances</w:t>
      </w:r>
    </w:p>
    <w:p>
      <w:pPr>
        <w:spacing w:after="120"/>
      </w:pPr>
      <w:r>
        <w:rPr>
          <w:color w:val="1C2233"/>
          <w:sz w:val="22"/>
          <w:szCs w:val="22"/>
        </w:rPr>
        <w:t xml:space="preserve">You are stepping into the shoes of the Chief Financial Officer at Zenith Appliances Ltd., a domestic water purifier manufacturer based in Aurangabad. Over 14 rounds, you will build the annual master budget, set standard costs, handle exceptional events, analyze variances, and defend your numbers to the board.</w:t>
      </w:r>
    </w:p>
    <w:p>
      <w:pPr>
        <w:spacing w:after="120"/>
      </w:pPr>
      <w:r>
        <w:rPr>
          <w:color w:val="1C2233"/>
          <w:sz w:val="22"/>
          <w:szCs w:val="22"/>
        </w:rPr>
        <w:t xml:space="preserve">This is not a quiz. There are no right or wrong answers. Every decision you make has consequences — financial, organisational, and political. Your job is to navigate these tradeoffs as a practicing Cost Accountant would.</w:t>
      </w:r>
    </w:p>
    <w:p>
      <w:pPr>
        <w:pStyle w:val="Heading2"/>
        <w:spacing w:after="120" w:before="280"/>
      </w:pPr>
      <w:r>
        <w:rPr>
          <w:b/>
          <w:bCs/>
          <w:color w:val="2980B9"/>
        </w:rPr>
        <w:t xml:space="preserve">What You Will Learn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800"/>
      </w:tblGrid>
      <w:tr>
        <w:tc>
          <w:tcPr>
            <w:tcW w:type="dxa" w:w="2400"/>
            <w:shd w:fill="E8E4DC" w:val="clear"/>
          </w:tcPr>
          <w:p>
            <w:pPr>
              <w:spacing w:after="40" w:before="40"/>
            </w:pPr>
            <w:r>
              <w:rPr>
                <w:b/>
                <w:bCs/>
                <w:color w:val="1C2233"/>
                <w:sz w:val="20"/>
                <w:szCs w:val="20"/>
              </w:rPr>
              <w:t xml:space="preserve">Concept</w:t>
            </w:r>
          </w:p>
        </w:tc>
        <w:tc>
          <w:tcPr>
            <w:tcW w:type="dxa" w:w="3800"/>
            <w:shd w:fill="E8E4DC" w:val="clear"/>
          </w:tcPr>
          <w:p>
            <w:pPr>
              <w:spacing w:after="40" w:before="40"/>
            </w:pPr>
            <w:r>
              <w:rPr>
                <w:b/>
                <w:bCs/>
                <w:color w:val="1C2233"/>
                <w:sz w:val="20"/>
                <w:szCs w:val="20"/>
              </w:rPr>
              <w:t xml:space="preserve">Where You'll Use It</w:t>
            </w:r>
          </w:p>
        </w:tc>
        <w:tc>
          <w:tcPr>
            <w:tcW w:type="dxa" w:w="3800"/>
            <w:shd w:fill="E8E4DC" w:val="clear"/>
          </w:tcPr>
          <w:p>
            <w:pPr>
              <w:spacing w:after="40" w:before="40"/>
            </w:pPr>
            <w:r>
              <w:rPr>
                <w:b/>
                <w:bCs/>
                <w:color w:val="1C2233"/>
                <w:sz w:val="20"/>
                <w:szCs w:val="20"/>
              </w:rPr>
              <w:t xml:space="preserve">Why It Matters</w:t>
            </w:r>
          </w:p>
        </w:tc>
      </w:tr>
      <w:tr>
        <w:tc>
          <w:tcPr>
            <w:tcW w:type="dxa" w:w="2400"/>
          </w:tcPr>
          <w:p>
            <w:pPr>
              <w:spacing w:after="40" w:before="40"/>
            </w:pPr>
            <w:r>
              <w:rPr>
                <w:b w:val="false"/>
                <w:bCs w:val="false"/>
                <w:color w:val="1C2233"/>
                <w:sz w:val="20"/>
                <w:szCs w:val="20"/>
              </w:rPr>
              <w:t xml:space="preserve">Master Budget Cascade</w:t>
            </w:r>
          </w:p>
        </w:tc>
        <w:tc>
          <w:tcPr>
            <w:tcW w:type="dxa" w:w="3800"/>
          </w:tcPr>
          <w:p>
            <w:pPr>
              <w:spacing w:after="40" w:before="40"/>
            </w:pPr>
            <w:r>
              <w:rPr>
                <w:b w:val="false"/>
                <w:bCs w:val="false"/>
                <w:color w:val="1C2233"/>
                <w:sz w:val="20"/>
                <w:szCs w:val="20"/>
              </w:rPr>
              <w:t xml:space="preserve">Rounds 1–8</w:t>
            </w:r>
          </w:p>
        </w:tc>
        <w:tc>
          <w:tcPr>
            <w:tcW w:type="dxa" w:w="3800"/>
          </w:tcPr>
          <w:p>
            <w:pPr>
              <w:spacing w:after="40" w:before="40"/>
            </w:pPr>
            <w:r>
              <w:rPr>
                <w:b w:val="false"/>
                <w:bCs w:val="false"/>
                <w:color w:val="1C2233"/>
                <w:sz w:val="20"/>
                <w:szCs w:val="20"/>
              </w:rPr>
              <w:t xml:space="preserve">Every subsequent schedule derives from the sales budget</w:t>
            </w:r>
          </w:p>
        </w:tc>
      </w:tr>
      <w:tr>
        <w:tc>
          <w:tcPr>
            <w:tcW w:type="dxa" w:w="2400"/>
          </w:tcPr>
          <w:p>
            <w:pPr>
              <w:spacing w:after="40" w:before="40"/>
            </w:pPr>
            <w:r>
              <w:rPr>
                <w:b w:val="false"/>
                <w:bCs w:val="false"/>
                <w:color w:val="1C2233"/>
                <w:sz w:val="20"/>
                <w:szCs w:val="20"/>
              </w:rPr>
              <w:t xml:space="preserve">Standard Costing</w:t>
            </w:r>
          </w:p>
        </w:tc>
        <w:tc>
          <w:tcPr>
            <w:tcW w:type="dxa" w:w="3800"/>
          </w:tcPr>
          <w:p>
            <w:pPr>
              <w:spacing w:after="40" w:before="40"/>
            </w:pPr>
            <w:r>
              <w:rPr>
                <w:b w:val="false"/>
                <w:bCs w:val="false"/>
                <w:color w:val="1C2233"/>
                <w:sz w:val="20"/>
                <w:szCs w:val="20"/>
              </w:rPr>
              <w:t xml:space="preserve">Rounds 9–10</w:t>
            </w:r>
          </w:p>
        </w:tc>
        <w:tc>
          <w:tcPr>
            <w:tcW w:type="dxa" w:w="3800"/>
          </w:tcPr>
          <w:p>
            <w:pPr>
              <w:spacing w:after="40" w:before="40"/>
            </w:pPr>
            <w:r>
              <w:rPr>
                <w:b w:val="false"/>
                <w:bCs w:val="false"/>
                <w:color w:val="1C2233"/>
                <w:sz w:val="20"/>
                <w:szCs w:val="20"/>
              </w:rPr>
              <w:t xml:space="preserve">The benchmark against which all performance is measured</w:t>
            </w:r>
          </w:p>
        </w:tc>
      </w:tr>
      <w:tr>
        <w:tc>
          <w:tcPr>
            <w:tcW w:type="dxa" w:w="2400"/>
          </w:tcPr>
          <w:p>
            <w:pPr>
              <w:spacing w:after="40" w:before="40"/>
            </w:pPr>
            <w:r>
              <w:rPr>
                <w:b w:val="false"/>
                <w:bCs w:val="false"/>
                <w:color w:val="1C2233"/>
                <w:sz w:val="20"/>
                <w:szCs w:val="20"/>
              </w:rPr>
              <w:t xml:space="preserve">Variance Analysis (9 types)</w:t>
            </w:r>
          </w:p>
        </w:tc>
        <w:tc>
          <w:tcPr>
            <w:tcW w:type="dxa" w:w="3800"/>
          </w:tcPr>
          <w:p>
            <w:pPr>
              <w:spacing w:after="40" w:before="40"/>
            </w:pPr>
            <w:r>
              <w:rPr>
                <w:b w:val="false"/>
                <w:bCs w:val="false"/>
                <w:color w:val="1C2233"/>
                <w:sz w:val="20"/>
                <w:szCs w:val="20"/>
              </w:rPr>
              <w:t xml:space="preserve">Rounds 11–13</w:t>
            </w:r>
          </w:p>
        </w:tc>
        <w:tc>
          <w:tcPr>
            <w:tcW w:type="dxa" w:w="3800"/>
          </w:tcPr>
          <w:p>
            <w:pPr>
              <w:spacing w:after="40" w:before="40"/>
            </w:pPr>
            <w:r>
              <w:rPr>
                <w:b w:val="false"/>
                <w:bCs w:val="false"/>
                <w:color w:val="1C2233"/>
                <w:sz w:val="20"/>
                <w:szCs w:val="20"/>
              </w:rPr>
              <w:t xml:space="preserve">Diagnosing what went wrong and why</w:t>
            </w:r>
          </w:p>
        </w:tc>
      </w:tr>
      <w:tr>
        <w:tc>
          <w:tcPr>
            <w:tcW w:type="dxa" w:w="2400"/>
          </w:tcPr>
          <w:p>
            <w:pPr>
              <w:spacing w:after="40" w:before="40"/>
            </w:pPr>
            <w:r>
              <w:rPr>
                <w:b w:val="false"/>
                <w:bCs w:val="false"/>
                <w:color w:val="1C2233"/>
                <w:sz w:val="20"/>
                <w:szCs w:val="20"/>
              </w:rPr>
              <w:t xml:space="preserve">Flexible Budgets</w:t>
            </w:r>
          </w:p>
        </w:tc>
        <w:tc>
          <w:tcPr>
            <w:tcW w:type="dxa" w:w="3800"/>
          </w:tcPr>
          <w:p>
            <w:pPr>
              <w:spacing w:after="40" w:before="40"/>
            </w:pPr>
            <w:r>
              <w:rPr>
                <w:b w:val="false"/>
                <w:bCs w:val="false"/>
                <w:color w:val="1C2233"/>
                <w:sz w:val="20"/>
                <w:szCs w:val="20"/>
              </w:rPr>
              <w:t xml:space="preserve">Round 11</w:t>
            </w:r>
          </w:p>
        </w:tc>
        <w:tc>
          <w:tcPr>
            <w:tcW w:type="dxa" w:w="3800"/>
          </w:tcPr>
          <w:p>
            <w:pPr>
              <w:spacing w:after="40" w:before="40"/>
            </w:pPr>
            <w:r>
              <w:rPr>
                <w:b w:val="false"/>
                <w:bCs w:val="false"/>
                <w:color w:val="1C2233"/>
                <w:sz w:val="20"/>
                <w:szCs w:val="20"/>
              </w:rPr>
              <w:t xml:space="preserve">Separating volume effects from efficiency</w:t>
            </w:r>
          </w:p>
        </w:tc>
      </w:tr>
      <w:tr>
        <w:tc>
          <w:tcPr>
            <w:tcW w:type="dxa" w:w="2400"/>
          </w:tcPr>
          <w:p>
            <w:pPr>
              <w:spacing w:after="40" w:before="40"/>
            </w:pPr>
            <w:r>
              <w:rPr>
                <w:b w:val="false"/>
                <w:bCs w:val="false"/>
                <w:color w:val="1C2233"/>
                <w:sz w:val="20"/>
                <w:szCs w:val="20"/>
              </w:rPr>
              <w:t xml:space="preserve">Responsibility Accounting</w:t>
            </w:r>
          </w:p>
        </w:tc>
        <w:tc>
          <w:tcPr>
            <w:tcW w:type="dxa" w:w="3800"/>
          </w:tcPr>
          <w:p>
            <w:pPr>
              <w:spacing w:after="40" w:before="40"/>
            </w:pPr>
            <w:r>
              <w:rPr>
                <w:b w:val="false"/>
                <w:bCs w:val="false"/>
                <w:color w:val="1C2233"/>
                <w:sz w:val="20"/>
                <w:szCs w:val="20"/>
              </w:rPr>
              <w:t xml:space="preserve">Round 14</w:t>
            </w:r>
          </w:p>
        </w:tc>
        <w:tc>
          <w:tcPr>
            <w:tcW w:type="dxa" w:w="3800"/>
          </w:tcPr>
          <w:p>
            <w:pPr>
              <w:spacing w:after="40" w:before="40"/>
            </w:pPr>
            <w:r>
              <w:rPr>
                <w:b w:val="false"/>
                <w:bCs w:val="false"/>
                <w:color w:val="1C2233"/>
                <w:sz w:val="20"/>
                <w:szCs w:val="20"/>
              </w:rPr>
              <w:t xml:space="preserve">Attributing variances to the right manager</w:t>
            </w:r>
          </w:p>
        </w:tc>
      </w:tr>
      <w:tr>
        <w:tc>
          <w:tcPr>
            <w:tcW w:type="dxa" w:w="2400"/>
          </w:tcPr>
          <w:p>
            <w:pPr>
              <w:spacing w:after="40" w:before="40"/>
            </w:pPr>
            <w:r>
              <w:rPr>
                <w:b w:val="false"/>
                <w:bCs w:val="false"/>
                <w:color w:val="1C2233"/>
                <w:sz w:val="20"/>
                <w:szCs w:val="20"/>
              </w:rPr>
              <w:t xml:space="preserve">Controllability Principle</w:t>
            </w:r>
          </w:p>
        </w:tc>
        <w:tc>
          <w:tcPr>
            <w:tcW w:type="dxa" w:w="3800"/>
          </w:tcPr>
          <w:p>
            <w:pPr>
              <w:spacing w:after="40" w:before="40"/>
            </w:pPr>
            <w:r>
              <w:rPr>
                <w:b w:val="false"/>
                <w:bCs w:val="false"/>
                <w:color w:val="1C2233"/>
                <w:sz w:val="20"/>
                <w:szCs w:val="20"/>
              </w:rPr>
              <w:t xml:space="preserve">All rounds</w:t>
            </w:r>
          </w:p>
        </w:tc>
        <w:tc>
          <w:tcPr>
            <w:tcW w:type="dxa" w:w="3800"/>
          </w:tcPr>
          <w:p>
            <w:pPr>
              <w:spacing w:after="40" w:before="40"/>
            </w:pPr>
            <w:r>
              <w:rPr>
                <w:b w:val="false"/>
                <w:bCs w:val="false"/>
                <w:color w:val="1C2233"/>
                <w:sz w:val="20"/>
                <w:szCs w:val="20"/>
              </w:rPr>
              <w:t xml:space="preserve">A manager should not be penalised for what they cannot control</w:t>
            </w:r>
          </w:p>
        </w:tc>
      </w:tr>
    </w:tbl>
    <w:p>
      <w:r>
        <w:br w:type="page"/>
      </w:r>
    </w:p>
    <w:p>
      <w:pPr>
        <w:pStyle w:val="Heading1"/>
        <w:spacing w:after="120" w:before="400"/>
      </w:pPr>
      <w:r>
        <w:rPr>
          <w:b/>
          <w:bCs/>
          <w:color w:val="D97B2B"/>
        </w:rPr>
        <w:t xml:space="preserve">How to Play</w:t>
      </w:r>
    </w:p>
    <w:p>
      <w:pPr>
        <w:pStyle w:val="Heading2"/>
        <w:spacing w:after="120" w:before="280"/>
      </w:pPr>
      <w:r>
        <w:rPr>
          <w:b/>
          <w:bCs/>
          <w:color w:val="2980B9"/>
        </w:rPr>
        <w:t xml:space="preserve">The Interface</w:t>
      </w:r>
    </w:p>
    <w:p>
      <w:pPr>
        <w:spacing w:after="120"/>
      </w:pPr>
      <w:r>
        <w:rPr>
          <w:color w:val="1C2233"/>
          <w:sz w:val="22"/>
          <w:szCs w:val="22"/>
        </w:rPr>
        <w:t xml:space="preserve">Each round presents you with four elements:</w:t>
      </w:r>
    </w:p>
    <w:p>
      <w:pPr>
        <w:pStyle w:val="ListParagraph"/>
        <w:numPr>
          <w:ilvl w:val="0"/>
          <w:numId w:val="2"/>
        </w:numPr>
        <w:spacing w:after="60"/>
      </w:pPr>
      <w:r>
        <w:rPr>
          <w:sz w:val="22"/>
          <w:szCs w:val="22"/>
        </w:rPr>
        <w:t xml:space="preserve">Scene Card — The context. What is happening at Zenith, who is in the room, what data is available.</w:t>
      </w:r>
    </w:p>
    <w:p>
      <w:pPr>
        <w:pStyle w:val="ListParagraph"/>
        <w:numPr>
          <w:ilvl w:val="0"/>
          <w:numId w:val="2"/>
        </w:numPr>
        <w:spacing w:after="60"/>
      </w:pPr>
      <w:r>
        <w:rPr>
          <w:sz w:val="22"/>
          <w:szCs w:val="22"/>
        </w:rPr>
        <w:t xml:space="preserve">Concept Box — The cost accounting concept this round teaches. Read this carefully — it is the theory behind your decision.</w:t>
      </w:r>
    </w:p>
    <w:p>
      <w:pPr>
        <w:pStyle w:val="ListParagraph"/>
        <w:numPr>
          <w:ilvl w:val="0"/>
          <w:numId w:val="2"/>
        </w:numPr>
        <w:spacing w:after="60"/>
      </w:pPr>
      <w:r>
        <w:rPr>
          <w:sz w:val="22"/>
          <w:szCs w:val="22"/>
        </w:rPr>
        <w:t xml:space="preserve">Data Pack — The financial data you need. Tables with numbers from Zenith's books, industry benchmarks, or board directives.</w:t>
      </w:r>
    </w:p>
    <w:p>
      <w:pPr>
        <w:pStyle w:val="ListParagraph"/>
        <w:numPr>
          <w:ilvl w:val="0"/>
          <w:numId w:val="2"/>
        </w:numPr>
        <w:spacing w:after="60"/>
      </w:pPr>
      <w:r>
        <w:rPr>
          <w:sz w:val="22"/>
          <w:szCs w:val="22"/>
        </w:rPr>
        <w:t xml:space="preserve">Levers — Your decisions. Interactive sliders that you drag to set budget parameters, standards, or attribution choices.</w:t>
      </w:r>
    </w:p>
    <w:p>
      <w:pPr>
        <w:pStyle w:val="Heading2"/>
        <w:spacing w:after="120" w:before="280"/>
      </w:pPr>
      <w:r>
        <w:rPr>
          <w:b/>
          <w:bCs/>
          <w:color w:val="2980B9"/>
        </w:rPr>
        <w:t xml:space="preserve">Making Decisions</w:t>
      </w:r>
    </w:p>
    <w:p>
      <w:pPr>
        <w:spacing w:after="120"/>
      </w:pPr>
      <w:r>
        <w:rPr>
          <w:color w:val="1C2233"/>
          <w:sz w:val="22"/>
          <w:szCs w:val="22"/>
        </w:rPr>
        <w:t xml:space="preserve">For each round:</w:t>
      </w:r>
    </w:p>
    <w:p>
      <w:pPr>
        <w:pStyle w:val="ListParagraph"/>
        <w:numPr>
          <w:ilvl w:val="0"/>
          <w:numId w:val="2"/>
        </w:numPr>
        <w:spacing w:after="60"/>
      </w:pPr>
      <w:r>
        <w:rPr>
          <w:sz w:val="22"/>
          <w:szCs w:val="22"/>
        </w:rPr>
        <w:t xml:space="preserve">1. Read the scene card and concept box to understand the context.</w:t>
      </w:r>
    </w:p>
    <w:p>
      <w:pPr>
        <w:pStyle w:val="ListParagraph"/>
        <w:numPr>
          <w:ilvl w:val="0"/>
          <w:numId w:val="2"/>
        </w:numPr>
        <w:spacing w:after="60"/>
      </w:pPr>
      <w:r>
        <w:rPr>
          <w:sz w:val="22"/>
          <w:szCs w:val="22"/>
        </w:rPr>
        <w:t xml:space="preserve">2. Study the data pack — the numbers matter.</w:t>
      </w:r>
    </w:p>
    <w:p>
      <w:pPr>
        <w:pStyle w:val="ListParagraph"/>
        <w:numPr>
          <w:ilvl w:val="0"/>
          <w:numId w:val="2"/>
        </w:numPr>
        <w:spacing w:after="60"/>
      </w:pPr>
      <w:r>
        <w:rPr>
          <w:sz w:val="22"/>
          <w:szCs w:val="22"/>
        </w:rPr>
        <w:t xml:space="preserve">3. Drag the levers to set your decisions. Watch the Live Impact Preview update in real time as you move each lever.</w:t>
      </w:r>
    </w:p>
    <w:p>
      <w:pPr>
        <w:pStyle w:val="ListParagraph"/>
        <w:numPr>
          <w:ilvl w:val="0"/>
          <w:numId w:val="2"/>
        </w:numPr>
        <w:spacing w:after="60"/>
      </w:pPr>
      <w:r>
        <w:rPr>
          <w:sz w:val="22"/>
          <w:szCs w:val="22"/>
        </w:rPr>
        <w:t xml:space="preserve">4. The hint below each lever changes as you drag — it tells you what your current position means.</w:t>
      </w:r>
    </w:p>
    <w:p>
      <w:pPr>
        <w:pStyle w:val="ListParagraph"/>
        <w:numPr>
          <w:ilvl w:val="0"/>
          <w:numId w:val="2"/>
        </w:numPr>
        <w:spacing w:after="60"/>
      </w:pPr>
      <w:r>
        <w:rPr>
          <w:sz w:val="22"/>
          <w:szCs w:val="22"/>
        </w:rPr>
        <w:t xml:space="preserve">5. When satisfied, click "Lock In &amp; Submit to Board."</w:t>
      </w:r>
    </w:p>
    <w:p>
      <w:pPr>
        <w:pStyle w:val="ListParagraph"/>
        <w:numPr>
          <w:ilvl w:val="0"/>
          <w:numId w:val="2"/>
        </w:numPr>
        <w:spacing w:after="60"/>
      </w:pPr>
      <w:r>
        <w:rPr>
          <w:sz w:val="22"/>
          <w:szCs w:val="22"/>
        </w:rPr>
        <w:t xml:space="preserve">6. The board will react to your decisions. Read their feedback — it teaches you why your choices had the consequences they did.</w:t>
      </w:r>
    </w:p>
    <w:p>
      <w:pPr>
        <w:pStyle w:val="ListParagraph"/>
        <w:numPr>
          <w:ilvl w:val="0"/>
          <w:numId w:val="2"/>
        </w:numPr>
        <w:spacing w:after="60"/>
      </w:pPr>
      <w:r>
        <w:rPr>
          <w:sz w:val="22"/>
          <w:szCs w:val="22"/>
        </w:rPr>
        <w:t xml:space="preserve">7. A cost accounting principle is revealed. This is the textbook takeaway.</w:t>
      </w:r>
    </w:p>
    <w:p>
      <w:pPr>
        <w:pStyle w:val="ListParagraph"/>
        <w:numPr>
          <w:ilvl w:val="0"/>
          <w:numId w:val="2"/>
        </w:numPr>
        <w:spacing w:after="60"/>
      </w:pPr>
      <w:r>
        <w:rPr>
          <w:sz w:val="22"/>
          <w:szCs w:val="22"/>
        </w:rPr>
        <w:t xml:space="preserve">8. Your score for the round is shown. Click "Next Round" to continue.</w:t>
      </w:r>
    </w:p>
    <w:p>
      <w:pPr>
        <w:shd w:fill="E8F5E9" w:val="clear"/>
        <w:spacing w:after="120" w:before="120"/>
        <w:ind w:left="288" w:right="288"/>
      </w:pPr>
      <w:r>
        <w:rPr>
          <w:b/>
          <w:bCs/>
          <w:color w:val="1A8A5C"/>
          <w:sz w:val="21"/>
          <w:szCs w:val="21"/>
        </w:rPr>
        <w:t xml:space="preserve">TIP: </w:t>
      </w:r>
      <w:r>
        <w:rPr>
          <w:color w:val="1C2233"/>
          <w:sz w:val="21"/>
          <w:szCs w:val="21"/>
        </w:rPr>
        <w:t xml:space="preserve">The Live Impact Preview is your most important tool. It shows you the financial consequences of your lever positions BEFORE you submit. Use it to test different positions and understand the tradeoffs.</w:t>
      </w:r>
    </w:p>
    <w:p>
      <w:pPr>
        <w:pStyle w:val="Heading2"/>
        <w:spacing w:after="120" w:before="280"/>
      </w:pPr>
      <w:r>
        <w:rPr>
          <w:b/>
          <w:bCs/>
          <w:color w:val="2980B9"/>
        </w:rPr>
        <w:t xml:space="preserve">Types of Levers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800"/>
      </w:tblGrid>
      <w:tr>
        <w:tc>
          <w:tcPr>
            <w:tcW w:type="dxa" w:w="2400"/>
            <w:shd w:fill="E8E4DC" w:val="clear"/>
          </w:tcPr>
          <w:p>
            <w:pPr>
              <w:spacing w:after="40" w:before="40"/>
            </w:pPr>
            <w:r>
              <w:rPr>
                <w:b/>
                <w:bCs/>
                <w:color w:val="1C2233"/>
                <w:sz w:val="20"/>
                <w:szCs w:val="20"/>
              </w:rPr>
              <w:t xml:space="preserve">Type</w:t>
            </w:r>
          </w:p>
        </w:tc>
        <w:tc>
          <w:tcPr>
            <w:tcW w:type="dxa" w:w="3800"/>
            <w:shd w:fill="E8E4DC" w:val="clear"/>
          </w:tcPr>
          <w:p>
            <w:pPr>
              <w:spacing w:after="40" w:before="40"/>
            </w:pPr>
            <w:r>
              <w:rPr>
                <w:b/>
                <w:bCs/>
                <w:color w:val="1C2233"/>
                <w:sz w:val="20"/>
                <w:szCs w:val="20"/>
              </w:rPr>
              <w:t xml:space="preserve">Example</w:t>
            </w:r>
          </w:p>
        </w:tc>
        <w:tc>
          <w:tcPr>
            <w:tcW w:type="dxa" w:w="3800"/>
            <w:shd w:fill="E8E4DC" w:val="clear"/>
          </w:tcPr>
          <w:p>
            <w:pPr>
              <w:spacing w:after="40" w:before="40"/>
            </w:pPr>
            <w:r>
              <w:rPr>
                <w:b/>
                <w:bCs/>
                <w:color w:val="1C2233"/>
                <w:sz w:val="20"/>
                <w:szCs w:val="20"/>
              </w:rPr>
              <w:t xml:space="preserve">How It Works</w:t>
            </w:r>
          </w:p>
        </w:tc>
      </w:tr>
      <w:tr>
        <w:tc>
          <w:tcPr>
            <w:tcW w:type="dxa" w:w="2400"/>
          </w:tcPr>
          <w:p>
            <w:pPr>
              <w:spacing w:after="40" w:before="40"/>
            </w:pPr>
            <w:r>
              <w:rPr>
                <w:b w:val="false"/>
                <w:bCs w:val="false"/>
                <w:color w:val="1C2233"/>
                <w:sz w:val="20"/>
                <w:szCs w:val="20"/>
              </w:rPr>
              <w:t xml:space="preserve">Numeric Slider</w:t>
            </w:r>
          </w:p>
        </w:tc>
        <w:tc>
          <w:tcPr>
            <w:tcW w:type="dxa" w:w="3800"/>
          </w:tcPr>
          <w:p>
            <w:pPr>
              <w:spacing w:after="40" w:before="40"/>
            </w:pPr>
            <w:r>
              <w:rPr>
                <w:b w:val="false"/>
                <w:bCs w:val="false"/>
                <w:color w:val="1C2233"/>
                <w:sz w:val="20"/>
                <w:szCs w:val="20"/>
              </w:rPr>
              <w:t xml:space="preserve">Sales Volume: 200,000 – 260,000</w:t>
            </w:r>
          </w:p>
        </w:tc>
        <w:tc>
          <w:tcPr>
            <w:tcW w:type="dxa" w:w="3800"/>
          </w:tcPr>
          <w:p>
            <w:pPr>
              <w:spacing w:after="40" w:before="40"/>
            </w:pPr>
            <w:r>
              <w:rPr>
                <w:b w:val="false"/>
                <w:bCs w:val="false"/>
                <w:color w:val="1C2233"/>
                <w:sz w:val="20"/>
                <w:szCs w:val="20"/>
              </w:rPr>
              <w:t xml:space="preserve">Drag to set a number within the range</w:t>
            </w:r>
          </w:p>
        </w:tc>
      </w:tr>
      <w:tr>
        <w:tc>
          <w:tcPr>
            <w:tcW w:type="dxa" w:w="2400"/>
          </w:tcPr>
          <w:p>
            <w:pPr>
              <w:spacing w:after="40" w:before="40"/>
            </w:pPr>
            <w:r>
              <w:rPr>
                <w:b w:val="false"/>
                <w:bCs w:val="false"/>
                <w:color w:val="1C2233"/>
                <w:sz w:val="20"/>
                <w:szCs w:val="20"/>
              </w:rPr>
              <w:t xml:space="preserve">Currency Slider</w:t>
            </w:r>
          </w:p>
        </w:tc>
        <w:tc>
          <w:tcPr>
            <w:tcW w:type="dxa" w:w="3800"/>
          </w:tcPr>
          <w:p>
            <w:pPr>
              <w:spacing w:after="40" w:before="40"/>
            </w:pPr>
            <w:r>
              <w:rPr>
                <w:b w:val="false"/>
                <w:bCs w:val="false"/>
                <w:color w:val="1C2233"/>
                <w:sz w:val="20"/>
                <w:szCs w:val="20"/>
              </w:rPr>
              <w:t xml:space="preserve">Selling Price: ₹8,800 – ₹10,200</w:t>
            </w:r>
          </w:p>
        </w:tc>
        <w:tc>
          <w:tcPr>
            <w:tcW w:type="dxa" w:w="3800"/>
          </w:tcPr>
          <w:p>
            <w:pPr>
              <w:spacing w:after="40" w:before="40"/>
            </w:pPr>
            <w:r>
              <w:rPr>
                <w:b w:val="false"/>
                <w:bCs w:val="false"/>
                <w:color w:val="1C2233"/>
                <w:sz w:val="20"/>
                <w:szCs w:val="20"/>
              </w:rPr>
              <w:t xml:space="preserve">Drag to set a price or cost</w:t>
            </w:r>
          </w:p>
        </w:tc>
      </w:tr>
      <w:tr>
        <w:tc>
          <w:tcPr>
            <w:tcW w:type="dxa" w:w="2400"/>
          </w:tcPr>
          <w:p>
            <w:pPr>
              <w:spacing w:after="40" w:before="40"/>
            </w:pPr>
            <w:r>
              <w:rPr>
                <w:b w:val="false"/>
                <w:bCs w:val="false"/>
                <w:color w:val="1C2233"/>
                <w:sz w:val="20"/>
                <w:szCs w:val="20"/>
              </w:rPr>
              <w:t xml:space="preserve">Percentage Slider</w:t>
            </w:r>
          </w:p>
        </w:tc>
        <w:tc>
          <w:tcPr>
            <w:tcW w:type="dxa" w:w="3800"/>
          </w:tcPr>
          <w:p>
            <w:pPr>
              <w:spacing w:after="40" w:before="40"/>
            </w:pPr>
            <w:r>
              <w:rPr>
                <w:b w:val="false"/>
                <w:bCs w:val="false"/>
                <w:color w:val="1C2233"/>
                <w:sz w:val="20"/>
                <w:szCs w:val="20"/>
              </w:rPr>
              <w:t xml:space="preserve">Surplus Redeployed: 0% – 100%</w:t>
            </w:r>
          </w:p>
        </w:tc>
        <w:tc>
          <w:tcPr>
            <w:tcW w:type="dxa" w:w="3800"/>
          </w:tcPr>
          <w:p>
            <w:pPr>
              <w:spacing w:after="40" w:before="40"/>
            </w:pPr>
            <w:r>
              <w:rPr>
                <w:b w:val="false"/>
                <w:bCs w:val="false"/>
                <w:color w:val="1C2233"/>
                <w:sz w:val="20"/>
                <w:szCs w:val="20"/>
              </w:rPr>
              <w:t xml:space="preserve">Drag to set a percentage</w:t>
            </w:r>
          </w:p>
        </w:tc>
      </w:tr>
      <w:tr>
        <w:tc>
          <w:tcPr>
            <w:tcW w:type="dxa" w:w="2400"/>
          </w:tcPr>
          <w:p>
            <w:pPr>
              <w:spacing w:after="40" w:before="40"/>
            </w:pPr>
            <w:r>
              <w:rPr>
                <w:b w:val="false"/>
                <w:bCs w:val="false"/>
                <w:color w:val="1C2233"/>
                <w:sz w:val="20"/>
                <w:szCs w:val="20"/>
              </w:rPr>
              <w:t xml:space="preserve">Toggle (Binary)</w:t>
            </w:r>
          </w:p>
        </w:tc>
        <w:tc>
          <w:tcPr>
            <w:tcW w:type="dxa" w:w="3800"/>
          </w:tcPr>
          <w:p>
            <w:pPr>
              <w:spacing w:after="40" w:before="40"/>
            </w:pPr>
            <w:r>
              <w:rPr>
                <w:b w:val="false"/>
                <w:bCs w:val="false"/>
                <w:color w:val="1C2233"/>
                <w:sz w:val="20"/>
                <w:szCs w:val="20"/>
              </w:rPr>
              <w:t xml:space="preserve">Hold Standard / Revise Standard</w:t>
            </w:r>
          </w:p>
        </w:tc>
        <w:tc>
          <w:tcPr>
            <w:tcW w:type="dxa" w:w="3800"/>
          </w:tcPr>
          <w:p>
            <w:pPr>
              <w:spacing w:after="40" w:before="40"/>
            </w:pPr>
            <w:r>
              <w:rPr>
                <w:b w:val="false"/>
                <w:bCs w:val="false"/>
                <w:color w:val="1C2233"/>
                <w:sz w:val="20"/>
                <w:szCs w:val="20"/>
              </w:rPr>
              <w:t xml:space="preserve">Two-position switch — left or right</w:t>
            </w:r>
          </w:p>
        </w:tc>
      </w:tr>
      <w:tr>
        <w:tc>
          <w:tcPr>
            <w:tcW w:type="dxa" w:w="2400"/>
          </w:tcPr>
          <w:p>
            <w:pPr>
              <w:spacing w:after="40" w:before="40"/>
            </w:pPr>
            <w:r>
              <w:rPr>
                <w:b w:val="false"/>
                <w:bCs w:val="false"/>
                <w:color w:val="1C2233"/>
                <w:sz w:val="20"/>
                <w:szCs w:val="20"/>
              </w:rPr>
              <w:t xml:space="preserve">Toggle (Ternary)</w:t>
            </w:r>
          </w:p>
        </w:tc>
        <w:tc>
          <w:tcPr>
            <w:tcW w:type="dxa" w:w="3800"/>
          </w:tcPr>
          <w:p>
            <w:pPr>
              <w:spacing w:after="40" w:before="40"/>
            </w:pPr>
            <w:r>
              <w:rPr>
                <w:b w:val="false"/>
                <w:bCs w:val="false"/>
                <w:color w:val="1C2233"/>
                <w:sz w:val="20"/>
                <w:szCs w:val="20"/>
              </w:rPr>
              <w:t xml:space="preserve">Silent / Quantified / Full Disclosure</w:t>
            </w:r>
          </w:p>
        </w:tc>
        <w:tc>
          <w:tcPr>
            <w:tcW w:type="dxa" w:w="3800"/>
          </w:tcPr>
          <w:p>
            <w:pPr>
              <w:spacing w:after="40" w:before="40"/>
            </w:pPr>
            <w:r>
              <w:rPr>
                <w:b w:val="false"/>
                <w:bCs w:val="false"/>
                <w:color w:val="1C2233"/>
                <w:sz w:val="20"/>
                <w:szCs w:val="20"/>
              </w:rPr>
              <w:t xml:space="preserve">Three-position switch</w:t>
            </w:r>
          </w:p>
        </w:tc>
      </w:tr>
    </w:tbl>
    <w:p>
      <w:pPr>
        <w:pStyle w:val="Heading2"/>
        <w:spacing w:after="120" w:before="280"/>
      </w:pPr>
      <w:r>
        <w:rPr>
          <w:b/>
          <w:bCs/>
          <w:color w:val="2980B9"/>
        </w:rPr>
        <w:t xml:space="preserve">Scoring</w:t>
      </w:r>
    </w:p>
    <w:p>
      <w:pPr>
        <w:spacing w:after="120"/>
      </w:pPr>
      <w:r>
        <w:rPr>
          <w:color w:val="1C2233"/>
          <w:sz w:val="22"/>
          <w:szCs w:val="22"/>
        </w:rPr>
        <w:t xml:space="preserve">You are scored on the quality of your decisions, not on finding a single "right answer." The scoring reflects:</w:t>
      </w:r>
    </w:p>
    <w:p>
      <w:pPr>
        <w:pStyle w:val="ListParagraph"/>
        <w:numPr>
          <w:ilvl w:val="0"/>
          <w:numId w:val="2"/>
        </w:numPr>
        <w:spacing w:after="60"/>
      </w:pPr>
      <w:r>
        <w:rPr>
          <w:sz w:val="22"/>
          <w:szCs w:val="22"/>
        </w:rPr>
        <w:t xml:space="preserve">Whether your decision is achievable (e.g., does production exceed capacity?)</w:t>
      </w:r>
    </w:p>
    <w:p>
      <w:pPr>
        <w:pStyle w:val="ListParagraph"/>
        <w:numPr>
          <w:ilvl w:val="0"/>
          <w:numId w:val="2"/>
        </w:numPr>
        <w:spacing w:after="60"/>
      </w:pPr>
      <w:r>
        <w:rPr>
          <w:sz w:val="22"/>
          <w:szCs w:val="22"/>
        </w:rPr>
        <w:t xml:space="preserve">Whether your decision preserves measurement integrity (e.g., does the standard still function as a benchmark?)</w:t>
      </w:r>
    </w:p>
    <w:p>
      <w:pPr>
        <w:pStyle w:val="ListParagraph"/>
        <w:numPr>
          <w:ilvl w:val="0"/>
          <w:numId w:val="2"/>
        </w:numPr>
        <w:spacing w:after="60"/>
      </w:pPr>
      <w:r>
        <w:rPr>
          <w:sz w:val="22"/>
          <w:szCs w:val="22"/>
        </w:rPr>
        <w:t xml:space="preserve">Whether your decision is transparent (e.g., is the board seeing honest numbers?)</w:t>
      </w:r>
    </w:p>
    <w:p>
      <w:pPr>
        <w:pStyle w:val="ListParagraph"/>
        <w:numPr>
          <w:ilvl w:val="0"/>
          <w:numId w:val="2"/>
        </w:numPr>
        <w:spacing w:after="60"/>
      </w:pPr>
      <w:r>
        <w:rPr>
          <w:sz w:val="22"/>
          <w:szCs w:val="22"/>
        </w:rPr>
        <w:t xml:space="preserve">Whether your decision aligns with the controllability principle</w:t>
      </w:r>
    </w:p>
    <w:p>
      <w:pPr>
        <w:spacing w:after="120"/>
      </w:pPr>
      <w:r>
        <w:rPr>
          <w:color w:val="1C2233"/>
          <w:sz w:val="22"/>
          <w:szCs w:val="22"/>
        </w:rPr>
        <w:t xml:space="preserve">Each round has a maximum mark value (5–13 marks). Your quality score (0–4) is scaled to those marks.</w:t>
      </w:r>
    </w:p>
    <w:p>
      <w:r>
        <w:br w:type="page"/>
      </w:r>
    </w:p>
    <w:p>
      <w:pPr>
        <w:pStyle w:val="Heading1"/>
        <w:spacing w:after="120" w:before="400"/>
      </w:pPr>
      <w:r>
        <w:rPr>
          <w:b/>
          <w:bCs/>
          <w:color w:val="D97B2B"/>
        </w:rPr>
        <w:t xml:space="preserve">The Company: Zenith Appliances Ltd.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shd w:fill="E8E4DC" w:val="clear"/>
          </w:tcPr>
          <w:p>
            <w:pPr>
              <w:spacing w:after="40" w:before="40"/>
            </w:pPr>
            <w:r>
              <w:rPr>
                <w:b/>
                <w:bCs/>
                <w:color w:val="1C2233"/>
                <w:sz w:val="20"/>
                <w:szCs w:val="20"/>
              </w:rPr>
              <w:t xml:space="preserve">Item</w:t>
            </w:r>
          </w:p>
        </w:tc>
        <w:tc>
          <w:tcPr>
            <w:tcW w:type="dxa" w:w="7600"/>
            <w:shd w:fill="E8E4DC" w:val="clear"/>
          </w:tcPr>
          <w:p>
            <w:pPr>
              <w:spacing w:after="40" w:before="40"/>
            </w:pPr>
            <w:r>
              <w:rPr>
                <w:b/>
                <w:bCs/>
                <w:color w:val="1C2233"/>
                <w:sz w:val="20"/>
                <w:szCs w:val="20"/>
              </w:rPr>
              <w:t xml:space="preserve">Detail</w:t>
            </w:r>
          </w:p>
        </w:tc>
      </w:tr>
      <w:tr>
        <w:tc>
          <w:tcPr>
            <w:tcW w:type="dxa" w:w="2400"/>
          </w:tcPr>
          <w:p>
            <w:pPr>
              <w:spacing w:after="40" w:before="40"/>
            </w:pPr>
            <w:r>
              <w:rPr>
                <w:b w:val="false"/>
                <w:bCs w:val="false"/>
                <w:color w:val="1C2233"/>
                <w:sz w:val="20"/>
                <w:szCs w:val="20"/>
              </w:rPr>
              <w:t xml:space="preserve">Business</w:t>
            </w:r>
          </w:p>
        </w:tc>
        <w:tc>
          <w:tcPr>
            <w:tcW w:type="dxa" w:w="7600"/>
          </w:tcPr>
          <w:p>
            <w:pPr>
              <w:spacing w:after="40" w:before="40"/>
            </w:pPr>
            <w:r>
              <w:rPr>
                <w:b w:val="false"/>
                <w:bCs w:val="false"/>
                <w:color w:val="1C2233"/>
                <w:sz w:val="20"/>
                <w:szCs w:val="20"/>
              </w:rPr>
              <w:t xml:space="preserve">Domestic water purifiers</w:t>
            </w:r>
          </w:p>
        </w:tc>
      </w:tr>
      <w:tr>
        <w:tc>
          <w:tcPr>
            <w:tcW w:type="dxa" w:w="2400"/>
          </w:tcPr>
          <w:p>
            <w:pPr>
              <w:spacing w:after="40" w:before="40"/>
            </w:pPr>
            <w:r>
              <w:rPr>
                <w:b w:val="false"/>
                <w:bCs w:val="false"/>
                <w:color w:val="1C2233"/>
                <w:sz w:val="20"/>
                <w:szCs w:val="20"/>
              </w:rPr>
              <w:t xml:space="preserve">Flagship Product</w:t>
            </w:r>
          </w:p>
        </w:tc>
        <w:tc>
          <w:tcPr>
            <w:tcW w:type="dxa" w:w="7600"/>
          </w:tcPr>
          <w:p>
            <w:pPr>
              <w:spacing w:after="40" w:before="40"/>
            </w:pPr>
            <w:r>
              <w:rPr>
                <w:b w:val="false"/>
                <w:bCs w:val="false"/>
                <w:color w:val="1C2233"/>
                <w:sz w:val="20"/>
                <w:szCs w:val="20"/>
              </w:rPr>
              <w:t xml:space="preserve">AquaPure Pro — 8-stage RO purifier</w:t>
            </w:r>
          </w:p>
        </w:tc>
      </w:tr>
      <w:tr>
        <w:tc>
          <w:tcPr>
            <w:tcW w:type="dxa" w:w="2400"/>
          </w:tcPr>
          <w:p>
            <w:pPr>
              <w:spacing w:after="40" w:before="40"/>
            </w:pPr>
            <w:r>
              <w:rPr>
                <w:b w:val="false"/>
                <w:bCs w:val="false"/>
                <w:color w:val="1C2233"/>
                <w:sz w:val="20"/>
                <w:szCs w:val="20"/>
              </w:rPr>
              <w:t xml:space="preserve">Plant Location</w:t>
            </w:r>
          </w:p>
        </w:tc>
        <w:tc>
          <w:tcPr>
            <w:tcW w:type="dxa" w:w="7600"/>
          </w:tcPr>
          <w:p>
            <w:pPr>
              <w:spacing w:after="40" w:before="40"/>
            </w:pPr>
            <w:r>
              <w:rPr>
                <w:b w:val="false"/>
                <w:bCs w:val="false"/>
                <w:color w:val="1C2233"/>
                <w:sz w:val="20"/>
                <w:szCs w:val="20"/>
              </w:rPr>
              <w:t xml:space="preserve">Waluj Industrial Area, Aurangabad</w:t>
            </w:r>
          </w:p>
        </w:tc>
      </w:tr>
      <w:tr>
        <w:tc>
          <w:tcPr>
            <w:tcW w:type="dxa" w:w="2400"/>
          </w:tcPr>
          <w:p>
            <w:pPr>
              <w:spacing w:after="40" w:before="40"/>
            </w:pPr>
            <w:r>
              <w:rPr>
                <w:b w:val="false"/>
                <w:bCs w:val="false"/>
                <w:color w:val="1C2233"/>
                <w:sz w:val="20"/>
                <w:szCs w:val="20"/>
              </w:rPr>
              <w:t xml:space="preserve">Employees</w:t>
            </w:r>
          </w:p>
        </w:tc>
        <w:tc>
          <w:tcPr>
            <w:tcW w:type="dxa" w:w="7600"/>
          </w:tcPr>
          <w:p>
            <w:pPr>
              <w:spacing w:after="40" w:before="40"/>
            </w:pPr>
            <w:r>
              <w:rPr>
                <w:b w:val="false"/>
                <w:bCs w:val="false"/>
                <w:color w:val="1C2233"/>
                <w:sz w:val="20"/>
                <w:szCs w:val="20"/>
              </w:rPr>
              <w:t xml:space="preserve">1,140 total (620 direct manufacturing workers)</w:t>
            </w:r>
          </w:p>
        </w:tc>
      </w:tr>
      <w:tr>
        <w:tc>
          <w:tcPr>
            <w:tcW w:type="dxa" w:w="2400"/>
          </w:tcPr>
          <w:p>
            <w:pPr>
              <w:spacing w:after="40" w:before="40"/>
            </w:pPr>
            <w:r>
              <w:rPr>
                <w:b w:val="false"/>
                <w:bCs w:val="false"/>
                <w:color w:val="1C2233"/>
                <w:sz w:val="20"/>
                <w:szCs w:val="20"/>
              </w:rPr>
              <w:t xml:space="preserve">Last Year Revenue</w:t>
            </w:r>
          </w:p>
        </w:tc>
        <w:tc>
          <w:tcPr>
            <w:tcW w:type="dxa" w:w="7600"/>
          </w:tcPr>
          <w:p>
            <w:pPr>
              <w:spacing w:after="40" w:before="40"/>
            </w:pPr>
            <w:r>
              <w:rPr>
                <w:b w:val="false"/>
                <w:bCs w:val="false"/>
                <w:color w:val="1C2233"/>
                <w:sz w:val="20"/>
                <w:szCs w:val="20"/>
              </w:rPr>
              <w:t xml:space="preserve">₹198 Cr (budget was ₹228 Cr — 13% miss)</w:t>
            </w:r>
          </w:p>
        </w:tc>
      </w:tr>
      <w:tr>
        <w:tc>
          <w:tcPr>
            <w:tcW w:type="dxa" w:w="2400"/>
          </w:tcPr>
          <w:p>
            <w:pPr>
              <w:spacing w:after="40" w:before="40"/>
            </w:pPr>
            <w:r>
              <w:rPr>
                <w:b w:val="false"/>
                <w:bCs w:val="false"/>
                <w:color w:val="1C2233"/>
                <w:sz w:val="20"/>
                <w:szCs w:val="20"/>
              </w:rPr>
              <w:t xml:space="preserve">Key Import</w:t>
            </w:r>
          </w:p>
        </w:tc>
        <w:tc>
          <w:tcPr>
            <w:tcW w:type="dxa" w:w="7600"/>
          </w:tcPr>
          <w:p>
            <w:pPr>
              <w:spacing w:after="40" w:before="40"/>
            </w:pPr>
            <w:r>
              <w:rPr>
                <w:b w:val="false"/>
                <w:bCs w:val="false"/>
                <w:color w:val="1C2233"/>
                <w:sz w:val="20"/>
                <w:szCs w:val="20"/>
              </w:rPr>
              <w:t xml:space="preserve">RO composite membrane (South Korea, USD-priced)</w:t>
            </w:r>
          </w:p>
        </w:tc>
      </w:tr>
      <w:tr>
        <w:tc>
          <w:tcPr>
            <w:tcW w:type="dxa" w:w="2400"/>
          </w:tcPr>
          <w:p>
            <w:pPr>
              <w:spacing w:after="40" w:before="40"/>
            </w:pPr>
            <w:r>
              <w:rPr>
                <w:b w:val="false"/>
                <w:bCs w:val="false"/>
                <w:color w:val="1C2233"/>
                <w:sz w:val="20"/>
                <w:szCs w:val="20"/>
              </w:rPr>
              <w:t xml:space="preserve">Plant Capacity</w:t>
            </w:r>
          </w:p>
        </w:tc>
        <w:tc>
          <w:tcPr>
            <w:tcW w:type="dxa" w:w="7600"/>
          </w:tcPr>
          <w:p>
            <w:pPr>
              <w:spacing w:after="40" w:before="40"/>
            </w:pPr>
            <w:r>
              <w:rPr>
                <w:b w:val="false"/>
                <w:bCs w:val="false"/>
                <w:color w:val="1C2233"/>
                <w:sz w:val="20"/>
                <w:szCs w:val="20"/>
              </w:rPr>
              <w:t xml:space="preserve">840,000 direct labour hours (normal), 1,050,000 (practical)</w:t>
            </w:r>
          </w:p>
        </w:tc>
      </w:tr>
      <w:tr>
        <w:tc>
          <w:tcPr>
            <w:tcW w:type="dxa" w:w="2400"/>
          </w:tcPr>
          <w:p>
            <w:pPr>
              <w:spacing w:after="40" w:before="40"/>
            </w:pPr>
            <w:r>
              <w:rPr>
                <w:b w:val="false"/>
                <w:bCs w:val="false"/>
                <w:color w:val="1C2233"/>
                <w:sz w:val="20"/>
                <w:szCs w:val="20"/>
              </w:rPr>
              <w:t xml:space="preserve">Material per Unit</w:t>
            </w:r>
          </w:p>
        </w:tc>
        <w:tc>
          <w:tcPr>
            <w:tcW w:type="dxa" w:w="7600"/>
          </w:tcPr>
          <w:p>
            <w:pPr>
              <w:spacing w:after="40" w:before="40"/>
            </w:pPr>
            <w:r>
              <w:rPr>
                <w:b w:val="false"/>
                <w:bCs w:val="false"/>
                <w:color w:val="1C2233"/>
                <w:sz w:val="20"/>
                <w:szCs w:val="20"/>
              </w:rPr>
              <w:t xml:space="preserve">4.0 kg composite material at ₹1,050/kg</w:t>
            </w:r>
          </w:p>
        </w:tc>
      </w:tr>
      <w:tr>
        <w:tc>
          <w:tcPr>
            <w:tcW w:type="dxa" w:w="2400"/>
          </w:tcPr>
          <w:p>
            <w:pPr>
              <w:spacing w:after="40" w:before="40"/>
            </w:pPr>
            <w:r>
              <w:rPr>
                <w:b w:val="false"/>
                <w:bCs w:val="false"/>
                <w:color w:val="1C2233"/>
                <w:sz w:val="20"/>
                <w:szCs w:val="20"/>
              </w:rPr>
              <w:t xml:space="preserve">Labour per Unit</w:t>
            </w:r>
          </w:p>
        </w:tc>
        <w:tc>
          <w:tcPr>
            <w:tcW w:type="dxa" w:w="7600"/>
          </w:tcPr>
          <w:p>
            <w:pPr>
              <w:spacing w:after="40" w:before="40"/>
            </w:pPr>
            <w:r>
              <w:rPr>
                <w:b w:val="false"/>
                <w:bCs w:val="false"/>
                <w:color w:val="1C2233"/>
                <w:sz w:val="20"/>
                <w:szCs w:val="20"/>
              </w:rPr>
              <w:t xml:space="preserve">3.5 hours at ₹220/hour</w:t>
            </w:r>
          </w:p>
        </w:tc>
      </w:tr>
      <w:tr>
        <w:tc>
          <w:tcPr>
            <w:tcW w:type="dxa" w:w="2400"/>
          </w:tcPr>
          <w:p>
            <w:pPr>
              <w:spacing w:after="40" w:before="40"/>
            </w:pPr>
            <w:r>
              <w:rPr>
                <w:b w:val="false"/>
                <w:bCs w:val="false"/>
                <w:color w:val="1C2233"/>
                <w:sz w:val="20"/>
                <w:szCs w:val="20"/>
              </w:rPr>
              <w:t xml:space="preserve">FY Target (MD)</w:t>
            </w:r>
          </w:p>
        </w:tc>
        <w:tc>
          <w:tcPr>
            <w:tcW w:type="dxa" w:w="7600"/>
          </w:tcPr>
          <w:p>
            <w:pPr>
              <w:spacing w:after="40" w:before="40"/>
            </w:pPr>
            <w:r>
              <w:rPr>
                <w:b w:val="false"/>
                <w:bCs w:val="false"/>
                <w:color w:val="1C2233"/>
                <w:sz w:val="20"/>
                <w:szCs w:val="20"/>
              </w:rPr>
              <w:t xml:space="preserve">₹220 Cr revenue, ₹40 Cr operating income</w:t>
            </w:r>
          </w:p>
        </w:tc>
      </w:tr>
    </w:tbl>
    <w:p>
      <w:pPr>
        <w:pStyle w:val="Heading2"/>
        <w:spacing w:after="120" w:before="280"/>
      </w:pPr>
      <w:r>
        <w:rPr>
          <w:b/>
          <w:bCs/>
          <w:color w:val="2980B9"/>
        </w:rPr>
        <w:t xml:space="preserve">Key People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800"/>
      </w:tblGrid>
      <w:tr>
        <w:tc>
          <w:tcPr>
            <w:tcW w:type="dxa" w:w="2400"/>
            <w:shd w:fill="E8E4DC" w:val="clear"/>
          </w:tcPr>
          <w:p>
            <w:pPr>
              <w:spacing w:after="40" w:before="40"/>
            </w:pPr>
            <w:r>
              <w:rPr>
                <w:b/>
                <w:bCs/>
                <w:color w:val="1C2233"/>
                <w:sz w:val="20"/>
                <w:szCs w:val="20"/>
              </w:rPr>
              <w:t xml:space="preserve">Name</w:t>
            </w:r>
          </w:p>
        </w:tc>
        <w:tc>
          <w:tcPr>
            <w:tcW w:type="dxa" w:w="3800"/>
            <w:shd w:fill="E8E4DC" w:val="clear"/>
          </w:tcPr>
          <w:p>
            <w:pPr>
              <w:spacing w:after="40" w:before="40"/>
            </w:pPr>
            <w:r>
              <w:rPr>
                <w:b/>
                <w:bCs/>
                <w:color w:val="1C2233"/>
                <w:sz w:val="20"/>
                <w:szCs w:val="20"/>
              </w:rPr>
              <w:t xml:space="preserve">Role</w:t>
            </w:r>
          </w:p>
        </w:tc>
        <w:tc>
          <w:tcPr>
            <w:tcW w:type="dxa" w:w="3800"/>
            <w:shd w:fill="E8E4DC" w:val="clear"/>
          </w:tcPr>
          <w:p>
            <w:pPr>
              <w:spacing w:after="40" w:before="40"/>
            </w:pPr>
            <w:r>
              <w:rPr>
                <w:b/>
                <w:bCs/>
                <w:color w:val="1C2233"/>
                <w:sz w:val="20"/>
                <w:szCs w:val="20"/>
              </w:rPr>
              <w:t xml:space="preserve">What to Watch</w:t>
            </w:r>
          </w:p>
        </w:tc>
      </w:tr>
      <w:tr>
        <w:tc>
          <w:tcPr>
            <w:tcW w:type="dxa" w:w="2400"/>
          </w:tcPr>
          <w:p>
            <w:pPr>
              <w:spacing w:after="40" w:before="40"/>
            </w:pPr>
            <w:r>
              <w:rPr>
                <w:b w:val="false"/>
                <w:bCs w:val="false"/>
                <w:color w:val="1C2233"/>
                <w:sz w:val="20"/>
                <w:szCs w:val="20"/>
              </w:rPr>
              <w:t xml:space="preserve">Vikram Sethi</w:t>
            </w:r>
          </w:p>
        </w:tc>
        <w:tc>
          <w:tcPr>
            <w:tcW w:type="dxa" w:w="3800"/>
          </w:tcPr>
          <w:p>
            <w:pPr>
              <w:spacing w:after="40" w:before="40"/>
            </w:pPr>
            <w:r>
              <w:rPr>
                <w:b w:val="false"/>
                <w:bCs w:val="false"/>
                <w:color w:val="1C2233"/>
                <w:sz w:val="20"/>
                <w:szCs w:val="20"/>
              </w:rPr>
              <w:t xml:space="preserve">Managing Director</w:t>
            </w:r>
          </w:p>
        </w:tc>
        <w:tc>
          <w:tcPr>
            <w:tcW w:type="dxa" w:w="3800"/>
          </w:tcPr>
          <w:p>
            <w:pPr>
              <w:spacing w:after="40" w:before="40"/>
            </w:pPr>
            <w:r>
              <w:rPr>
                <w:b w:val="false"/>
                <w:bCs w:val="false"/>
                <w:color w:val="1C2233"/>
                <w:sz w:val="20"/>
                <w:szCs w:val="20"/>
              </w:rPr>
              <w:t xml:space="preserve">Committed publicly to ₹220 Cr. Wants accountability.</w:t>
            </w:r>
          </w:p>
        </w:tc>
      </w:tr>
      <w:tr>
        <w:tc>
          <w:tcPr>
            <w:tcW w:type="dxa" w:w="2400"/>
          </w:tcPr>
          <w:p>
            <w:pPr>
              <w:spacing w:after="40" w:before="40"/>
            </w:pPr>
            <w:r>
              <w:rPr>
                <w:b w:val="false"/>
                <w:bCs w:val="false"/>
                <w:color w:val="1C2233"/>
                <w:sz w:val="20"/>
                <w:szCs w:val="20"/>
              </w:rPr>
              <w:t xml:space="preserve">You</w:t>
            </w:r>
          </w:p>
        </w:tc>
        <w:tc>
          <w:tcPr>
            <w:tcW w:type="dxa" w:w="3800"/>
          </w:tcPr>
          <w:p>
            <w:pPr>
              <w:spacing w:after="40" w:before="40"/>
            </w:pPr>
            <w:r>
              <w:rPr>
                <w:b w:val="false"/>
                <w:bCs w:val="false"/>
                <w:color w:val="1C2233"/>
                <w:sz w:val="20"/>
                <w:szCs w:val="20"/>
              </w:rPr>
              <w:t xml:space="preserve">CFO</w:t>
            </w:r>
          </w:p>
        </w:tc>
        <w:tc>
          <w:tcPr>
            <w:tcW w:type="dxa" w:w="3800"/>
          </w:tcPr>
          <w:p>
            <w:pPr>
              <w:spacing w:after="40" w:before="40"/>
            </w:pPr>
            <w:r>
              <w:rPr>
                <w:b w:val="false"/>
                <w:bCs w:val="false"/>
                <w:color w:val="1C2233"/>
                <w:sz w:val="20"/>
                <w:szCs w:val="20"/>
              </w:rPr>
              <w:t xml:space="preserve">Build the budget. Set the standards. Own the numbers.</w:t>
            </w:r>
          </w:p>
        </w:tc>
      </w:tr>
      <w:tr>
        <w:tc>
          <w:tcPr>
            <w:tcW w:type="dxa" w:w="2400"/>
          </w:tcPr>
          <w:p>
            <w:pPr>
              <w:spacing w:after="40" w:before="40"/>
            </w:pPr>
            <w:r>
              <w:rPr>
                <w:b w:val="false"/>
                <w:bCs w:val="false"/>
                <w:color w:val="1C2233"/>
                <w:sz w:val="20"/>
                <w:szCs w:val="20"/>
              </w:rPr>
              <w:t xml:space="preserve">VP Sales</w:t>
            </w:r>
          </w:p>
        </w:tc>
        <w:tc>
          <w:tcPr>
            <w:tcW w:type="dxa" w:w="3800"/>
          </w:tcPr>
          <w:p>
            <w:pPr>
              <w:spacing w:after="40" w:before="40"/>
            </w:pPr>
            <w:r>
              <w:rPr>
                <w:b w:val="false"/>
                <w:bCs w:val="false"/>
                <w:color w:val="1C2233"/>
                <w:sz w:val="20"/>
                <w:szCs w:val="20"/>
              </w:rPr>
              <w:t xml:space="preserve">Revenue Centre Head</w:t>
            </w:r>
          </w:p>
        </w:tc>
        <w:tc>
          <w:tcPr>
            <w:tcW w:type="dxa" w:w="3800"/>
          </w:tcPr>
          <w:p>
            <w:pPr>
              <w:spacing w:after="40" w:before="40"/>
            </w:pPr>
            <w:r>
              <w:rPr>
                <w:b w:val="false"/>
                <w:bCs w:val="false"/>
                <w:color w:val="1C2233"/>
                <w:sz w:val="20"/>
                <w:szCs w:val="20"/>
              </w:rPr>
              <w:t xml:space="preserve">Submitted 216,000 (suspected 7% sandbag)</w:t>
            </w:r>
          </w:p>
        </w:tc>
      </w:tr>
      <w:tr>
        <w:tc>
          <w:tcPr>
            <w:tcW w:type="dxa" w:w="2400"/>
          </w:tcPr>
          <w:p>
            <w:pPr>
              <w:spacing w:after="40" w:before="40"/>
            </w:pPr>
            <w:r>
              <w:rPr>
                <w:b w:val="false"/>
                <w:bCs w:val="false"/>
                <w:color w:val="1C2233"/>
                <w:sz w:val="20"/>
                <w:szCs w:val="20"/>
              </w:rPr>
              <w:t xml:space="preserve">VP Operations</w:t>
            </w:r>
          </w:p>
        </w:tc>
        <w:tc>
          <w:tcPr>
            <w:tcW w:type="dxa" w:w="3800"/>
          </w:tcPr>
          <w:p>
            <w:pPr>
              <w:spacing w:after="40" w:before="40"/>
            </w:pPr>
            <w:r>
              <w:rPr>
                <w:b w:val="false"/>
                <w:bCs w:val="false"/>
                <w:color w:val="1C2233"/>
                <w:sz w:val="20"/>
                <w:szCs w:val="20"/>
              </w:rPr>
              <w:t xml:space="preserve">Ex-Plant Head (promoted on favourable variances)</w:t>
            </w:r>
          </w:p>
        </w:tc>
        <w:tc>
          <w:tcPr>
            <w:tcW w:type="dxa" w:w="3800"/>
          </w:tcPr>
          <w:p>
            <w:pPr>
              <w:spacing w:after="40" w:before="40"/>
            </w:pPr>
            <w:r>
              <w:rPr>
                <w:b w:val="false"/>
                <w:bCs w:val="false"/>
                <w:color w:val="1C2233"/>
                <w:sz w:val="20"/>
                <w:szCs w:val="20"/>
              </w:rPr>
              <w:t xml:space="preserve">Watch for conflict of interest in standard-setting</w:t>
            </w:r>
          </w:p>
        </w:tc>
      </w:tr>
      <w:tr>
        <w:tc>
          <w:tcPr>
            <w:tcW w:type="dxa" w:w="2400"/>
          </w:tcPr>
          <w:p>
            <w:pPr>
              <w:spacing w:after="40" w:before="40"/>
            </w:pPr>
            <w:r>
              <w:rPr>
                <w:b w:val="false"/>
                <w:bCs w:val="false"/>
                <w:color w:val="1C2233"/>
                <w:sz w:val="20"/>
                <w:szCs w:val="20"/>
              </w:rPr>
              <w:t xml:space="preserve">Plant Head</w:t>
            </w:r>
          </w:p>
        </w:tc>
        <w:tc>
          <w:tcPr>
            <w:tcW w:type="dxa" w:w="3800"/>
          </w:tcPr>
          <w:p>
            <w:pPr>
              <w:spacing w:after="40" w:before="40"/>
            </w:pPr>
            <w:r>
              <w:rPr>
                <w:b w:val="false"/>
                <w:bCs w:val="false"/>
                <w:color w:val="1C2233"/>
                <w:sz w:val="20"/>
                <w:szCs w:val="20"/>
              </w:rPr>
              <w:t xml:space="preserve">Cost Centre Head</w:t>
            </w:r>
          </w:p>
        </w:tc>
        <w:tc>
          <w:tcPr>
            <w:tcW w:type="dxa" w:w="3800"/>
          </w:tcPr>
          <w:p>
            <w:pPr>
              <w:spacing w:after="40" w:before="40"/>
            </w:pPr>
            <w:r>
              <w:rPr>
                <w:b w:val="false"/>
                <w:bCs w:val="false"/>
                <w:color w:val="1C2233"/>
                <w:sz w:val="20"/>
                <w:szCs w:val="20"/>
              </w:rPr>
              <w:t xml:space="preserve">Manages 620 workers against 487 needed</w:t>
            </w:r>
          </w:p>
        </w:tc>
      </w:tr>
      <w:tr>
        <w:tc>
          <w:tcPr>
            <w:tcW w:type="dxa" w:w="2400"/>
          </w:tcPr>
          <w:p>
            <w:pPr>
              <w:spacing w:after="40" w:before="40"/>
            </w:pPr>
            <w:r>
              <w:rPr>
                <w:b w:val="false"/>
                <w:bCs w:val="false"/>
                <w:color w:val="1C2233"/>
                <w:sz w:val="20"/>
                <w:szCs w:val="20"/>
              </w:rPr>
              <w:t xml:space="preserve">Procurement Head</w:t>
            </w:r>
          </w:p>
        </w:tc>
        <w:tc>
          <w:tcPr>
            <w:tcW w:type="dxa" w:w="3800"/>
          </w:tcPr>
          <w:p>
            <w:pPr>
              <w:spacing w:after="40" w:before="40"/>
            </w:pPr>
            <w:r>
              <w:rPr>
                <w:b w:val="false"/>
                <w:bCs w:val="false"/>
                <w:color w:val="1C2233"/>
                <w:sz w:val="20"/>
                <w:szCs w:val="20"/>
              </w:rPr>
              <w:t xml:space="preserve">Material sourcing</w:t>
            </w:r>
          </w:p>
        </w:tc>
        <w:tc>
          <w:tcPr>
            <w:tcW w:type="dxa" w:w="3800"/>
          </w:tcPr>
          <w:p>
            <w:pPr>
              <w:spacing w:after="40" w:before="40"/>
            </w:pPr>
            <w:r>
              <w:rPr>
                <w:b w:val="false"/>
                <w:bCs w:val="false"/>
                <w:color w:val="1C2233"/>
                <w:sz w:val="20"/>
                <w:szCs w:val="20"/>
              </w:rPr>
              <w:t xml:space="preserve">Contract has USD clause she failed to remove</w:t>
            </w:r>
          </w:p>
        </w:tc>
      </w:tr>
    </w:tbl>
    <w:p>
      <w:r>
        <w:br w:type="page"/>
      </w:r>
    </w:p>
    <w:p>
      <w:pPr>
        <w:pStyle w:val="Heading1"/>
        <w:spacing w:after="120" w:before="400"/>
      </w:pPr>
      <w:r>
        <w:rPr>
          <w:b/>
          <w:bCs/>
          <w:color w:val="D97B2B"/>
        </w:rPr>
        <w:t xml:space="preserve">Round-by-Round Guide</w:t>
      </w:r>
    </w:p>
    <w:p>
      <w:pPr>
        <w:pStyle w:val="Heading2"/>
        <w:spacing w:after="120" w:before="280"/>
      </w:pPr>
      <w:r>
        <w:rPr>
          <w:b/>
          <w:bCs/>
          <w:color w:val="2980B9"/>
        </w:rPr>
        <w:t xml:space="preserve">Phase 1: Build the Budget (Rounds 1–8)</w:t>
      </w:r>
    </w:p>
    <w:p>
      <w:pPr>
        <w:spacing w:after="120"/>
      </w:pPr>
      <w:r>
        <w:rPr>
          <w:i/>
          <w:iCs/>
          <w:color w:val="7E8490"/>
          <w:sz w:val="22"/>
          <w:szCs w:val="22"/>
        </w:rPr>
        <w:t xml:space="preserve">In these rounds you construct the master budget cascade from sales through to cash.</w:t>
      </w:r>
    </w:p>
    <w:p>
      <w:pPr>
        <w:pStyle w:val="Heading3"/>
        <w:spacing w:after="120" w:before="280"/>
      </w:pPr>
      <w:r>
        <w:rPr>
          <w:b/>
          <w:bCs/>
          <w:color w:val="1C2233"/>
        </w:rPr>
        <w:t xml:space="preserve">Round 1: The Sales Budget</w:t>
      </w:r>
    </w:p>
    <w:p>
      <w:pPr>
        <w:spacing w:after="120"/>
      </w:pPr>
      <w:r>
        <w:rPr>
          <w:b/>
          <w:bCs/>
          <w:sz w:val="22"/>
          <w:szCs w:val="22"/>
        </w:rPr>
        <w:t xml:space="preserve">Your Decision: </w:t>
      </w:r>
      <w:r>
        <w:rPr>
          <w:sz w:val="22"/>
          <w:szCs w:val="22"/>
        </w:rPr>
        <w:t xml:space="preserve">Set the sales volume and selling price for the year.</w:t>
      </w:r>
    </w:p>
    <w:p>
      <w:pPr>
        <w:spacing w:after="120"/>
      </w:pPr>
      <w:r>
        <w:rPr>
          <w:b/>
          <w:bCs/>
          <w:sz w:val="22"/>
          <w:szCs w:val="22"/>
        </w:rPr>
        <w:t xml:space="preserve">Key Data: </w:t>
      </w:r>
      <w:r>
        <w:rPr>
          <w:sz w:val="22"/>
          <w:szCs w:val="22"/>
        </w:rPr>
        <w:t xml:space="preserve">Bottom-up estimate: 216,000 (7% sandbag suspected). Top-down: 251,000. MD target: ₹220 Cr.</w:t>
      </w:r>
    </w:p>
    <w:p>
      <w:pPr>
        <w:spacing w:after="120"/>
      </w:pPr>
      <w:r>
        <w:rPr>
          <w:b/>
          <w:bCs/>
          <w:sz w:val="22"/>
          <w:szCs w:val="22"/>
        </w:rPr>
        <w:t xml:space="preserve">What to Think About: </w:t>
      </w:r>
      <w:r>
        <w:rPr>
          <w:sz w:val="22"/>
          <w:szCs w:val="22"/>
        </w:rPr>
        <w:t xml:space="preserve">Is the volume physically achievable? (240,000 × 3.5 hrs = 840,000 hrs = exactly capacity). Is the price evidence-based? A new entrant in North is at ₹7,900.</w:t>
      </w:r>
    </w:p>
    <w:p>
      <w:pPr>
        <w:shd w:fill="E8F5E9" w:val="clear"/>
        <w:spacing w:after="120" w:before="120"/>
        <w:ind w:left="288" w:right="288"/>
      </w:pPr>
      <w:r>
        <w:rPr>
          <w:b/>
          <w:bCs/>
          <w:color w:val="1A8A5C"/>
          <w:sz w:val="21"/>
          <w:szCs w:val="21"/>
        </w:rPr>
        <w:t xml:space="preserve">TIP: </w:t>
      </w:r>
      <w:r>
        <w:rPr>
          <w:color w:val="1C2233"/>
          <w:sz w:val="21"/>
          <w:szCs w:val="21"/>
        </w:rPr>
        <w:t xml:space="preserve">The sales budget drives EVERYTHING downstream. An error here propagates through production, materials, labour, and overhead.</w:t>
      </w:r>
    </w:p>
    <w:p>
      <w:pPr>
        <w:shd w:fill="FFF3E0" w:val="clear"/>
        <w:spacing w:after="120" w:before="120"/>
        <w:ind w:left="288" w:right="288"/>
      </w:pPr>
      <w:r>
        <w:rPr>
          <w:b/>
          <w:bCs/>
          <w:color w:val="D97B2B"/>
          <w:sz w:val="21"/>
          <w:szCs w:val="21"/>
        </w:rPr>
        <w:t xml:space="preserve">WATCH OUT: </w:t>
      </w:r>
      <w:r>
        <w:rPr>
          <w:color w:val="1C2233"/>
          <w:sz w:val="21"/>
          <w:szCs w:val="21"/>
        </w:rPr>
        <w:t xml:space="preserve">Accepting the bottom-up estimate embeds the sandbag. Setting volume above capacity creates an unachievable budget.</w:t>
      </w:r>
    </w:p>
    <w:p>
      <w:pPr>
        <w:pStyle w:val="Heading3"/>
        <w:spacing w:after="120" w:before="280"/>
      </w:pPr>
      <w:r>
        <w:rPr>
          <w:b/>
          <w:bCs/>
          <w:color w:val="1C2233"/>
        </w:rPr>
        <w:t xml:space="preserve">Round 2: Production &amp; Inventory Policy</w:t>
      </w:r>
    </w:p>
    <w:p>
      <w:pPr>
        <w:spacing w:after="120"/>
      </w:pPr>
      <w:r>
        <w:rPr>
          <w:b/>
          <w:bCs/>
          <w:sz w:val="22"/>
          <w:szCs w:val="22"/>
        </w:rPr>
        <w:t xml:space="preserve">Your Decision: </w:t>
      </w:r>
      <w:r>
        <w:rPr>
          <w:sz w:val="22"/>
          <w:szCs w:val="22"/>
        </w:rPr>
        <w:t xml:space="preserve">Set the closing finished goods inventory and raw material safety stock.</w:t>
      </w:r>
    </w:p>
    <w:p>
      <w:pPr>
        <w:spacing w:after="120"/>
      </w:pPr>
      <w:r>
        <w:rPr>
          <w:b/>
          <w:bCs/>
          <w:sz w:val="22"/>
          <w:szCs w:val="22"/>
        </w:rPr>
        <w:t xml:space="preserve">Key Constraint: </w:t>
      </w:r>
      <w:r>
        <w:rPr>
          <w:sz w:val="22"/>
          <w:szCs w:val="22"/>
        </w:rPr>
        <w:t xml:space="preserve">Warehouse capacity is 96,000 kg. Supplier lead time is 5 weeks.</w:t>
      </w:r>
    </w:p>
    <w:p>
      <w:pPr>
        <w:shd w:fill="E8F5E9" w:val="clear"/>
        <w:spacing w:after="120" w:before="120"/>
        <w:ind w:left="288" w:right="288"/>
      </w:pPr>
      <w:r>
        <w:rPr>
          <w:b/>
          <w:bCs/>
          <w:color w:val="1A8A5C"/>
          <w:sz w:val="21"/>
          <w:szCs w:val="21"/>
        </w:rPr>
        <w:t xml:space="preserve">TIP: </w:t>
      </w:r>
      <w:r>
        <w:rPr>
          <w:color w:val="1C2233"/>
          <w:sz w:val="21"/>
          <w:szCs w:val="21"/>
        </w:rPr>
        <w:t xml:space="preserve">Two different numbers matter: material USAGE drives COGS, but material PURCHASES drive cash flow. Confusing them is a common error.</w:t>
      </w:r>
    </w:p>
    <w:p>
      <w:pPr>
        <w:shd w:fill="FFF3E0" w:val="clear"/>
        <w:spacing w:after="120" w:before="120"/>
        <w:ind w:left="288" w:right="288"/>
      </w:pPr>
      <w:r>
        <w:rPr>
          <w:b/>
          <w:bCs/>
          <w:color w:val="D97B2B"/>
          <w:sz w:val="21"/>
          <w:szCs w:val="21"/>
        </w:rPr>
        <w:t xml:space="preserve">WATCH OUT: </w:t>
      </w:r>
      <w:r>
        <w:rPr>
          <w:color w:val="1C2233"/>
          <w:sz w:val="21"/>
          <w:szCs w:val="21"/>
        </w:rPr>
        <w:t xml:space="preserve">Setting RM safety stock above 96,000 kg is physically impossible — the warehouse cannot hold it.</w:t>
      </w:r>
    </w:p>
    <w:p>
      <w:pPr>
        <w:pStyle w:val="Heading3"/>
        <w:spacing w:after="120" w:before="280"/>
      </w:pPr>
      <w:r>
        <w:rPr>
          <w:b/>
          <w:bCs/>
          <w:color w:val="1C2233"/>
        </w:rPr>
        <w:t xml:space="preserve">Round 3: Membrane Price Shock (EVENT)</w:t>
      </w:r>
    </w:p>
    <w:p>
      <w:pPr>
        <w:spacing w:after="120"/>
      </w:pPr>
      <w:r>
        <w:rPr>
          <w:b/>
          <w:bCs/>
          <w:sz w:val="22"/>
          <w:szCs w:val="22"/>
        </w:rPr>
        <w:t xml:space="preserve">What Happens: </w:t>
      </w:r>
      <w:r>
        <w:rPr>
          <w:sz w:val="22"/>
          <w:szCs w:val="22"/>
        </w:rPr>
        <w:t xml:space="preserve">USD/INR moves from 83 to 88. Material price rises from ₹1,050 to ₹1,120/kg. Impact: +₹6.72 Cr.</w:t>
      </w:r>
    </w:p>
    <w:p>
      <w:pPr>
        <w:spacing w:after="120"/>
      </w:pPr>
      <w:r>
        <w:rPr>
          <w:b/>
          <w:bCs/>
          <w:sz w:val="22"/>
          <w:szCs w:val="22"/>
        </w:rPr>
        <w:t xml:space="preserve">Your Decision: </w:t>
      </w:r>
      <w:r>
        <w:rPr>
          <w:sz w:val="22"/>
          <w:szCs w:val="22"/>
        </w:rPr>
        <w:t xml:space="preserve">Hold the standard at ₹1,050 or revise to ₹1,120? Maintain a separate reforecast?</w:t>
      </w:r>
    </w:p>
    <w:p>
      <w:pPr>
        <w:shd w:fill="E8F5E9" w:val="clear"/>
        <w:spacing w:after="120" w:before="120"/>
        <w:ind w:left="288" w:right="288"/>
      </w:pPr>
      <w:r>
        <w:rPr>
          <w:b/>
          <w:bCs/>
          <w:color w:val="1A8A5C"/>
          <w:sz w:val="21"/>
          <w:szCs w:val="21"/>
        </w:rPr>
        <w:t xml:space="preserve">TIP: </w:t>
      </w:r>
      <w:r>
        <w:rPr>
          <w:color w:val="1C2233"/>
          <w:sz w:val="21"/>
          <w:szCs w:val="21"/>
        </w:rPr>
        <w:t xml:space="preserve">The standard's purpose is measurement. If you revise it, the year-end variance will show zero — the currency impact becomes invisible.</w:t>
      </w:r>
    </w:p>
    <w:p>
      <w:pPr>
        <w:pStyle w:val="Heading3"/>
        <w:spacing w:after="120" w:before="280"/>
      </w:pPr>
      <w:r>
        <w:rPr>
          <w:b/>
          <w:bCs/>
          <w:color w:val="1C2233"/>
        </w:rPr>
        <w:t xml:space="preserve">Round 4: Labour Budget &amp; Headcount</w:t>
      </w:r>
    </w:p>
    <w:p>
      <w:pPr>
        <w:spacing w:after="120"/>
      </w:pPr>
      <w:r>
        <w:rPr>
          <w:b/>
          <w:bCs/>
          <w:sz w:val="22"/>
          <w:szCs w:val="22"/>
        </w:rPr>
        <w:t xml:space="preserve">Your Decision: </w:t>
      </w:r>
      <w:r>
        <w:rPr>
          <w:sz w:val="22"/>
          <w:szCs w:val="22"/>
        </w:rPr>
        <w:t xml:space="preserve">How many direct workers? What to do with the surplus?</w:t>
      </w:r>
    </w:p>
    <w:p>
      <w:pPr>
        <w:spacing w:after="120"/>
      </w:pPr>
      <w:r>
        <w:rPr>
          <w:b/>
          <w:bCs/>
          <w:sz w:val="22"/>
          <w:szCs w:val="22"/>
        </w:rPr>
        <w:t xml:space="preserve">Key Insight: </w:t>
      </w:r>
      <w:r>
        <w:rPr>
          <w:sz w:val="22"/>
          <w:szCs w:val="22"/>
        </w:rPr>
        <w:t xml:space="preserve">Only 487 workers are needed. Current headcount: 620. The surplus costs ₹5.06 Cr/year.</w:t>
      </w:r>
    </w:p>
    <w:p>
      <w:pPr>
        <w:shd w:fill="E8F5E9" w:val="clear"/>
        <w:spacing w:after="120" w:before="120"/>
        <w:ind w:left="288" w:right="288"/>
      </w:pPr>
      <w:r>
        <w:rPr>
          <w:b/>
          <w:bCs/>
          <w:color w:val="1A8A5C"/>
          <w:sz w:val="21"/>
          <w:szCs w:val="21"/>
        </w:rPr>
        <w:t xml:space="preserve">TIP: </w:t>
      </w:r>
      <w:r>
        <w:rPr>
          <w:color w:val="1C2233"/>
          <w:sz w:val="21"/>
          <w:szCs w:val="21"/>
        </w:rPr>
        <w:t xml:space="preserve">If you retain 620 workers, ₹5.06 Cr of waste is formally approved inside the standard. The variance system will NEVER report it.</w:t>
      </w:r>
    </w:p>
    <w:p>
      <w:pPr>
        <w:pStyle w:val="Heading3"/>
        <w:spacing w:after="120" w:before="280"/>
      </w:pPr>
      <w:r>
        <w:rPr>
          <w:b/>
          <w:bCs/>
          <w:color w:val="1C2233"/>
        </w:rPr>
        <w:t xml:space="preserve">Round 5: Overhead Allocation</w:t>
      </w:r>
    </w:p>
    <w:p>
      <w:pPr>
        <w:spacing w:after="120"/>
      </w:pPr>
      <w:r>
        <w:rPr>
          <w:b/>
          <w:bCs/>
          <w:sz w:val="22"/>
          <w:szCs w:val="22"/>
        </w:rPr>
        <w:t xml:space="preserve">Your Decision: </w:t>
      </w:r>
      <w:r>
        <w:rPr>
          <w:sz w:val="22"/>
          <w:szCs w:val="22"/>
        </w:rPr>
        <w:t xml:space="preserve">Choose the denominator for the fixed overhead absorption rate.</w:t>
      </w:r>
    </w:p>
    <w:p>
      <w:pPr>
        <w:spacing w:after="120"/>
      </w:pPr>
      <w:r>
        <w:rPr>
          <w:b/>
          <w:bCs/>
          <w:sz w:val="22"/>
          <w:szCs w:val="22"/>
        </w:rPr>
        <w:t xml:space="preserve">Key Insight: </w:t>
      </w:r>
      <w:r>
        <w:rPr>
          <w:sz w:val="22"/>
          <w:szCs w:val="22"/>
        </w:rPr>
        <w:t xml:space="preserve">Budgeted (840K hrs), Normal (900K), or Practical (1.05M) produce materially different product costs and variance attributions.</w:t>
      </w:r>
    </w:p>
    <w:p>
      <w:pPr>
        <w:shd w:fill="FFF3E0" w:val="clear"/>
        <w:spacing w:after="120" w:before="120"/>
        <w:ind w:left="288" w:right="288"/>
      </w:pPr>
      <w:r>
        <w:rPr>
          <w:b/>
          <w:bCs/>
          <w:color w:val="D97B2B"/>
          <w:sz w:val="21"/>
          <w:szCs w:val="21"/>
        </w:rPr>
        <w:t xml:space="preserve">WATCH OUT: </w:t>
      </w:r>
      <w:r>
        <w:rPr>
          <w:color w:val="1C2233"/>
          <w:sz w:val="21"/>
          <w:szCs w:val="21"/>
        </w:rPr>
        <w:t xml:space="preserve">Using budgeted volume as denominator transfers sales forecast error into a manufacturing variance. The Plant Head gets blamed for a sales miss.</w:t>
      </w:r>
    </w:p>
    <w:p>
      <w:pPr>
        <w:pStyle w:val="Heading3"/>
        <w:spacing w:after="120" w:before="280"/>
      </w:pPr>
      <w:r>
        <w:rPr>
          <w:b/>
          <w:bCs/>
          <w:color w:val="1C2233"/>
        </w:rPr>
        <w:t xml:space="preserve">Round 6: The Paint Shop Fire (EVENT)</w:t>
      </w:r>
    </w:p>
    <w:p>
      <w:pPr>
        <w:spacing w:after="120"/>
      </w:pPr>
      <w:r>
        <w:rPr>
          <w:b/>
          <w:bCs/>
          <w:sz w:val="22"/>
          <w:szCs w:val="22"/>
        </w:rPr>
        <w:t xml:space="preserve">What Happens: </w:t>
      </w:r>
      <w:r>
        <w:rPr>
          <w:sz w:val="22"/>
          <w:szCs w:val="22"/>
        </w:rPr>
        <w:t xml:space="preserve">Electrical fault destroys the paint shop in week 19. Production capped at 216,000 units.</w:t>
      </w:r>
    </w:p>
    <w:p>
      <w:pPr>
        <w:spacing w:after="120"/>
      </w:pPr>
      <w:r>
        <w:rPr>
          <w:b/>
          <w:bCs/>
          <w:sz w:val="22"/>
          <w:szCs w:val="22"/>
        </w:rPr>
        <w:t xml:space="preserve">Your Decision: </w:t>
      </w:r>
      <w:r>
        <w:rPr>
          <w:sz w:val="22"/>
          <w:szCs w:val="22"/>
        </w:rPr>
        <w:t xml:space="preserve">Hold or recalculate the OH rate? Report the under-absorption in the Plant Head's report or as exceptional?</w:t>
      </w:r>
    </w:p>
    <w:p>
      <w:pPr>
        <w:shd w:fill="E8F5E9" w:val="clear"/>
        <w:spacing w:after="120" w:before="120"/>
        <w:ind w:left="288" w:right="288"/>
      </w:pPr>
      <w:r>
        <w:rPr>
          <w:b/>
          <w:bCs/>
          <w:color w:val="1A8A5C"/>
          <w:sz w:val="21"/>
          <w:szCs w:val="21"/>
        </w:rPr>
        <w:t xml:space="preserve">TIP: </w:t>
      </w:r>
      <w:r>
        <w:rPr>
          <w:color w:val="1C2233"/>
          <w:sz w:val="21"/>
          <w:szCs w:val="21"/>
        </w:rPr>
        <w:t xml:space="preserve">The fire affected effectiveness (goal missed) but NOT efficiency (resources per unit unchanged). Evaluate the manager only on the controllable dimension.</w:t>
      </w:r>
    </w:p>
    <w:p>
      <w:pPr>
        <w:pStyle w:val="Heading3"/>
        <w:spacing w:after="120" w:before="280"/>
      </w:pPr>
      <w:r>
        <w:rPr>
          <w:b/>
          <w:bCs/>
          <w:color w:val="1C2233"/>
        </w:rPr>
        <w:t xml:space="preserve">Round 7: Non-Manufacturing Costs</w:t>
      </w:r>
    </w:p>
    <w:p>
      <w:pPr>
        <w:spacing w:after="120"/>
      </w:pPr>
      <w:r>
        <w:rPr>
          <w:b/>
          <w:bCs/>
          <w:sz w:val="22"/>
          <w:szCs w:val="22"/>
        </w:rPr>
        <w:t xml:space="preserve">Your Decision: </w:t>
      </w:r>
      <w:r>
        <w:rPr>
          <w:sz w:val="22"/>
          <w:szCs w:val="22"/>
        </w:rPr>
        <w:t xml:space="preserve">Set advertising, R&amp;D, and service cost budgets. Budgeted operating income is ₹32.88 Cr vs ₹40 Cr target.</w:t>
      </w:r>
    </w:p>
    <w:p>
      <w:pPr>
        <w:shd w:fill="FFF3E0" w:val="clear"/>
        <w:spacing w:after="120" w:before="120"/>
        <w:ind w:left="288" w:right="288"/>
      </w:pPr>
      <w:r>
        <w:rPr>
          <w:b/>
          <w:bCs/>
          <w:color w:val="D97B2B"/>
          <w:sz w:val="21"/>
          <w:szCs w:val="21"/>
        </w:rPr>
        <w:t xml:space="preserve">WATCH OUT: </w:t>
      </w:r>
      <w:r>
        <w:rPr>
          <w:color w:val="1C2233"/>
          <w:sz w:val="21"/>
          <w:szCs w:val="21"/>
        </w:rPr>
        <w:t xml:space="preserve">Cutting advertising and R&amp;D closes the gap on paper but breaks the business. The consequence lands in a later period, attributed to someone else.</w:t>
      </w:r>
    </w:p>
    <w:p>
      <w:pPr>
        <w:pStyle w:val="Heading3"/>
        <w:spacing w:after="120" w:before="280"/>
      </w:pPr>
      <w:r>
        <w:rPr>
          <w:b/>
          <w:bCs/>
          <w:color w:val="1C2233"/>
        </w:rPr>
        <w:t xml:space="preserve">Round 8: The Cash Budget</w:t>
      </w:r>
    </w:p>
    <w:p>
      <w:pPr>
        <w:spacing w:after="120"/>
      </w:pPr>
      <w:r>
        <w:rPr>
          <w:b/>
          <w:bCs/>
          <w:sz w:val="22"/>
          <w:szCs w:val="22"/>
        </w:rPr>
        <w:t xml:space="preserve">Your Decision: </w:t>
      </w:r>
      <w:r>
        <w:rPr>
          <w:sz w:val="22"/>
          <w:szCs w:val="22"/>
        </w:rPr>
        <w:t xml:space="preserve">Set dealer credit terms and request OD enhancement.</w:t>
      </w:r>
    </w:p>
    <w:p>
      <w:pPr>
        <w:spacing w:after="120"/>
      </w:pPr>
      <w:r>
        <w:rPr>
          <w:b/>
          <w:bCs/>
          <w:sz w:val="22"/>
          <w:szCs w:val="22"/>
        </w:rPr>
        <w:t xml:space="preserve">Key Insight: </w:t>
      </w:r>
      <w:r>
        <w:rPr>
          <w:sz w:val="22"/>
          <w:szCs w:val="22"/>
        </w:rPr>
        <w:t xml:space="preserve">Peak financing: ₹16.80 Cr against ₹18.00 Cr OD limit. Only 7% headroom.</w:t>
      </w:r>
    </w:p>
    <w:p>
      <w:pPr>
        <w:shd w:fill="E8F5E9" w:val="clear"/>
        <w:spacing w:after="120" w:before="120"/>
        <w:ind w:left="288" w:right="288"/>
      </w:pPr>
      <w:r>
        <w:rPr>
          <w:b/>
          <w:bCs/>
          <w:color w:val="1A8A5C"/>
          <w:sz w:val="21"/>
          <w:szCs w:val="21"/>
        </w:rPr>
        <w:t xml:space="preserve">TIP: </w:t>
      </w:r>
      <w:r>
        <w:rPr>
          <w:color w:val="1C2233"/>
          <w:sz w:val="21"/>
          <w:szCs w:val="21"/>
        </w:rPr>
        <w:t xml:space="preserve">This is a financing structure problem, not an operating problem. An OD enhancement solves it where it originates.</w:t>
      </w:r>
    </w:p>
    <w:p>
      <w:r>
        <w:br w:type="page"/>
      </w:r>
    </w:p>
    <w:p>
      <w:pPr>
        <w:pStyle w:val="Heading2"/>
        <w:spacing w:after="120" w:before="280"/>
      </w:pPr>
      <w:r>
        <w:rPr>
          <w:b/>
          <w:bCs/>
          <w:color w:val="2980B9"/>
        </w:rPr>
        <w:t xml:space="preserve">Phase 2: Set Standards (Rounds 9–10)</w:t>
      </w:r>
    </w:p>
    <w:p>
      <w:pPr>
        <w:spacing w:after="120"/>
      </w:pPr>
      <w:r>
        <w:rPr>
          <w:i/>
          <w:iCs/>
          <w:color w:val="7E8490"/>
          <w:sz w:val="22"/>
          <w:szCs w:val="22"/>
        </w:rPr>
        <w:t xml:space="preserve">Now you build the standard cost card — the benchmark against which all performance will be measured.</w:t>
      </w:r>
    </w:p>
    <w:p>
      <w:pPr>
        <w:pStyle w:val="Heading3"/>
        <w:spacing w:after="120" w:before="280"/>
      </w:pPr>
      <w:r>
        <w:rPr>
          <w:b/>
          <w:bCs/>
          <w:color w:val="1C2233"/>
        </w:rPr>
        <w:t xml:space="preserve">Round 9: The Standard Cost Card</w:t>
      </w:r>
    </w:p>
    <w:p>
      <w:pPr>
        <w:spacing w:after="120"/>
      </w:pPr>
      <w:r>
        <w:rPr>
          <w:b/>
          <w:bCs/>
          <w:sz w:val="22"/>
          <w:szCs w:val="22"/>
        </w:rPr>
        <w:t xml:space="preserve">Your Decision: </w:t>
      </w:r>
      <w:r>
        <w:rPr>
          <w:sz w:val="22"/>
          <w:szCs w:val="22"/>
        </w:rPr>
        <w:t xml:space="preserve">Set the material quantity, labour hours, and variable OH standards. Optionally set a separate improvement target.</w:t>
      </w:r>
    </w:p>
    <w:p>
      <w:pPr>
        <w:spacing w:after="120"/>
      </w:pPr>
      <w:r>
        <w:rPr>
          <w:b/>
          <w:bCs/>
          <w:sz w:val="22"/>
          <w:szCs w:val="22"/>
        </w:rPr>
        <w:t xml:space="preserve">The Discovery: </w:t>
      </w:r>
      <w:r>
        <w:rPr>
          <w:sz w:val="22"/>
          <w:szCs w:val="22"/>
        </w:rPr>
        <w:t xml:space="preserve">Current standards carry ₹11.16 Cr of embedded slack — 33.9% of operating income. Engineering data shows BOM is 3.65 kg, not 4.0 kg.</w:t>
      </w:r>
    </w:p>
    <w:p>
      <w:pPr>
        <w:shd w:fill="E8F5E9" w:val="clear"/>
        <w:spacing w:after="120" w:before="120"/>
        <w:ind w:left="288" w:right="288"/>
      </w:pPr>
      <w:r>
        <w:rPr>
          <w:b/>
          <w:bCs/>
          <w:color w:val="1A8A5C"/>
          <w:sz w:val="21"/>
          <w:szCs w:val="21"/>
        </w:rPr>
        <w:t xml:space="preserve">TIP: </w:t>
      </w:r>
      <w:r>
        <w:rPr>
          <w:color w:val="1C2233"/>
          <w:sz w:val="21"/>
          <w:szCs w:val="21"/>
        </w:rPr>
        <w:t xml:space="preserve">Keep standards achievable for control. Track improvement as a separate overlay. The Fortune 500 company discovered that allowable waste exceeded total profits.</w:t>
      </w:r>
    </w:p>
    <w:p>
      <w:pPr>
        <w:shd w:fill="FFF3E0" w:val="clear"/>
        <w:spacing w:after="120" w:before="120"/>
        <w:ind w:left="288" w:right="288"/>
      </w:pPr>
      <w:r>
        <w:rPr>
          <w:b/>
          <w:bCs/>
          <w:color w:val="D97B2B"/>
          <w:sz w:val="21"/>
          <w:szCs w:val="21"/>
        </w:rPr>
        <w:t xml:space="preserve">WATCH OUT: </w:t>
      </w:r>
      <w:r>
        <w:rPr>
          <w:color w:val="1C2233"/>
          <w:sz w:val="21"/>
          <w:szCs w:val="21"/>
        </w:rPr>
        <w:t xml:space="preserve">Setting standards at engineering benchmarks (3.65 kg, 3.20 hrs) looks good but the plant has never achieved these. Permanently unfavourable variances teach nothing.</w:t>
      </w:r>
    </w:p>
    <w:p>
      <w:pPr>
        <w:pStyle w:val="Heading3"/>
        <w:spacing w:after="120" w:before="280"/>
      </w:pPr>
      <w:r>
        <w:rPr>
          <w:b/>
          <w:bCs/>
          <w:color w:val="1C2233"/>
        </w:rPr>
        <w:t xml:space="preserve">Round 10: The Padded Standard Revealed (EVENT)</w:t>
      </w:r>
    </w:p>
    <w:p>
      <w:pPr>
        <w:spacing w:after="120"/>
      </w:pPr>
      <w:r>
        <w:rPr>
          <w:b/>
          <w:bCs/>
          <w:sz w:val="22"/>
          <w:szCs w:val="22"/>
        </w:rPr>
        <w:t xml:space="preserve">What Happens: </w:t>
      </w:r>
      <w:r>
        <w:rPr>
          <w:sz w:val="22"/>
          <w:szCs w:val="22"/>
        </w:rPr>
        <w:t xml:space="preserve">Internal audit reveals the 4.0 kg standard was padded 3 years ago "for the new line, to be removed after stabilisation." It was never removed.</w:t>
      </w:r>
    </w:p>
    <w:p>
      <w:pPr>
        <w:spacing w:after="120"/>
      </w:pPr>
      <w:r>
        <w:rPr>
          <w:b/>
          <w:bCs/>
          <w:sz w:val="22"/>
          <w:szCs w:val="22"/>
        </w:rPr>
        <w:t xml:space="preserve">Your Decision: </w:t>
      </w:r>
      <w:r>
        <w:rPr>
          <w:sz w:val="22"/>
          <w:szCs w:val="22"/>
        </w:rPr>
        <w:t xml:space="preserve">How much to correct? How much to disclose? Whether to require annual re-certification.</w:t>
      </w:r>
    </w:p>
    <w:p>
      <w:pPr>
        <w:shd w:fill="E8F5E9" w:val="clear"/>
        <w:spacing w:after="120" w:before="120"/>
        <w:ind w:left="288" w:right="288"/>
      </w:pPr>
      <w:r>
        <w:rPr>
          <w:b/>
          <w:bCs/>
          <w:color w:val="1A8A5C"/>
          <w:sz w:val="21"/>
          <w:szCs w:val="21"/>
        </w:rPr>
        <w:t xml:space="preserve">TIP: </w:t>
      </w:r>
      <w:r>
        <w:rPr>
          <w:color w:val="1C2233"/>
          <w:sz w:val="21"/>
          <w:szCs w:val="21"/>
        </w:rPr>
        <w:t xml:space="preserve">Address the person, the consequence, AND the system. Without a process change, the next manager faces the same incentive.</w:t>
      </w:r>
    </w:p>
    <w:p>
      <w:r>
        <w:br w:type="page"/>
      </w:r>
    </w:p>
    <w:p>
      <w:pPr>
        <w:pStyle w:val="Heading2"/>
        <w:spacing w:after="120" w:before="280"/>
      </w:pPr>
      <w:r>
        <w:rPr>
          <w:b/>
          <w:bCs/>
          <w:color w:val="2980B9"/>
        </w:rPr>
        <w:t xml:space="preserve">Phase 3: Analyze Variances (Rounds 11–13)</w:t>
      </w:r>
    </w:p>
    <w:p>
      <w:pPr>
        <w:spacing w:after="120"/>
      </w:pPr>
      <w:r>
        <w:rPr>
          <w:i/>
          <w:iCs/>
          <w:color w:val="7E8490"/>
          <w:sz w:val="22"/>
          <w:szCs w:val="22"/>
        </w:rPr>
        <w:t xml:space="preserve">The year is over. Actuals are in. Now you must make sense of what happened.</w:t>
      </w:r>
    </w:p>
    <w:p>
      <w:pPr>
        <w:pStyle w:val="Heading3"/>
        <w:spacing w:after="120" w:before="280"/>
      </w:pPr>
      <w:r>
        <w:rPr>
          <w:b/>
          <w:bCs/>
          <w:color w:val="1C2233"/>
        </w:rPr>
        <w:t xml:space="preserve">Round 11: The Flexible Budget</w:t>
      </w:r>
    </w:p>
    <w:p>
      <w:pPr>
        <w:spacing w:after="120"/>
      </w:pPr>
      <w:r>
        <w:rPr>
          <w:b/>
          <w:bCs/>
          <w:sz w:val="22"/>
          <w:szCs w:val="22"/>
        </w:rPr>
        <w:t xml:space="preserve">Your Decision: </w:t>
      </w:r>
      <w:r>
        <w:rPr>
          <w:sz w:val="22"/>
          <w:szCs w:val="22"/>
        </w:rPr>
        <w:t xml:space="preserve">The ₹8.18 Cr volume variance — how much is exceptional (fire) vs attributable to managers?</w:t>
      </w:r>
    </w:p>
    <w:p>
      <w:pPr>
        <w:spacing w:after="120"/>
      </w:pPr>
      <w:r>
        <w:rPr>
          <w:b/>
          <w:bCs/>
          <w:sz w:val="22"/>
          <w:szCs w:val="22"/>
        </w:rPr>
        <w:t xml:space="preserve">Key Insight: </w:t>
      </w:r>
      <w:r>
        <w:rPr>
          <w:sz w:val="22"/>
          <w:szCs w:val="22"/>
        </w:rPr>
        <w:t xml:space="preserve">The fire capped production at 216,000. Neither VP Sales nor the Plant Head controlled the fire.</w:t>
      </w:r>
    </w:p>
    <w:p>
      <w:pPr>
        <w:shd w:fill="E8F5E9" w:val="clear"/>
        <w:spacing w:after="120" w:before="120"/>
        <w:ind w:left="288" w:right="288"/>
      </w:pPr>
      <w:r>
        <w:rPr>
          <w:b/>
          <w:bCs/>
          <w:color w:val="1A8A5C"/>
          <w:sz w:val="21"/>
          <w:szCs w:val="21"/>
        </w:rPr>
        <w:t xml:space="preserve">TIP: </w:t>
      </w:r>
      <w:r>
        <w:rPr>
          <w:color w:val="1C2233"/>
          <w:sz w:val="21"/>
          <w:szCs w:val="21"/>
        </w:rPr>
        <w:t xml:space="preserve">The flexible budget exists to evaluate managers on what they did with the volume they had. Flex to actual output, then evaluate price, mix, and efficiency.</w:t>
      </w:r>
    </w:p>
    <w:p>
      <w:pPr>
        <w:pStyle w:val="Heading3"/>
        <w:spacing w:after="120" w:before="280"/>
      </w:pPr>
      <w:r>
        <w:rPr>
          <w:b/>
          <w:bCs/>
          <w:color w:val="1C2233"/>
        </w:rPr>
        <w:t xml:space="preserve">Round 12: Variance Investigation</w:t>
      </w:r>
    </w:p>
    <w:p>
      <w:pPr>
        <w:spacing w:after="120"/>
      </w:pPr>
      <w:r>
        <w:rPr>
          <w:b/>
          <w:bCs/>
          <w:sz w:val="22"/>
          <w:szCs w:val="22"/>
        </w:rPr>
        <w:t xml:space="preserve">Your Decision: </w:t>
      </w:r>
      <w:r>
        <w:rPr>
          <w:sz w:val="22"/>
          <w:szCs w:val="22"/>
        </w:rPr>
        <w:t xml:space="preserve">Set the investigation threshold and decide how many variances to investigate.</w:t>
      </w:r>
    </w:p>
    <w:p>
      <w:pPr>
        <w:spacing w:after="120"/>
      </w:pPr>
      <w:r>
        <w:rPr>
          <w:b/>
          <w:bCs/>
          <w:sz w:val="22"/>
          <w:szCs w:val="22"/>
        </w:rPr>
        <w:t xml:space="preserve">Key Insight: </w:t>
      </w:r>
      <w:r>
        <w:rPr>
          <w:sz w:val="22"/>
          <w:szCs w:val="22"/>
        </w:rPr>
        <w:t xml:space="preserve">9 variances total ₹19.46 Cr. The top 4 cover 82%. Investigating all 9 takes ~40 hours.</w:t>
      </w:r>
    </w:p>
    <w:p>
      <w:pPr>
        <w:shd w:fill="E8F5E9" w:val="clear"/>
        <w:spacing w:after="120" w:before="120"/>
        <w:ind w:left="288" w:right="288"/>
      </w:pPr>
      <w:r>
        <w:rPr>
          <w:b/>
          <w:bCs/>
          <w:color w:val="1A8A5C"/>
          <w:sz w:val="21"/>
          <w:szCs w:val="21"/>
        </w:rPr>
        <w:t xml:space="preserve">TIP: </w:t>
      </w:r>
      <w:r>
        <w:rPr>
          <w:color w:val="1C2233"/>
          <w:sz w:val="21"/>
          <w:szCs w:val="21"/>
        </w:rPr>
        <w:t xml:space="preserve">Apply cost-benefit analysis to investigation itself. The top 4–5 variances cover ~85% of the total for half the effort.</w:t>
      </w:r>
    </w:p>
    <w:p>
      <w:pPr>
        <w:pStyle w:val="Heading3"/>
        <w:spacing w:after="120" w:before="280"/>
      </w:pPr>
      <w:r>
        <w:rPr>
          <w:b/>
          <w:bCs/>
          <w:color w:val="1C2233"/>
        </w:rPr>
        <w:t xml:space="preserve">Round 13: The Institutional Order (EVENT)</w:t>
      </w:r>
    </w:p>
    <w:p>
      <w:pPr>
        <w:spacing w:after="120"/>
      </w:pPr>
      <w:r>
        <w:rPr>
          <w:b/>
          <w:bCs/>
          <w:sz w:val="22"/>
          <w:szCs w:val="22"/>
        </w:rPr>
        <w:t xml:space="preserve">What Happens: </w:t>
      </w:r>
      <w:r>
        <w:rPr>
          <w:sz w:val="22"/>
          <w:szCs w:val="22"/>
        </w:rPr>
        <w:t xml:space="preserve">Government housing authority offers 18,000 units at ₹8,400 (vs ₹9,500 standard). VP Sales accepted without committee approval.</w:t>
      </w:r>
    </w:p>
    <w:p>
      <w:pPr>
        <w:spacing w:after="120"/>
      </w:pPr>
      <w:r>
        <w:rPr>
          <w:b/>
          <w:bCs/>
          <w:sz w:val="22"/>
          <w:szCs w:val="22"/>
        </w:rPr>
        <w:t xml:space="preserve">Your Decision: </w:t>
      </w:r>
      <w:r>
        <w:rPr>
          <w:sz w:val="22"/>
          <w:szCs w:val="22"/>
        </w:rPr>
        <w:t xml:space="preserve">Accept the volume? How to report institutional vs core sales?</w:t>
      </w:r>
    </w:p>
    <w:p>
      <w:pPr>
        <w:shd w:fill="E8F5E9" w:val="clear"/>
        <w:spacing w:after="120" w:before="120"/>
        <w:ind w:left="288" w:right="288"/>
      </w:pPr>
      <w:r>
        <w:rPr>
          <w:b/>
          <w:bCs/>
          <w:color w:val="1A8A5C"/>
          <w:sz w:val="21"/>
          <w:szCs w:val="21"/>
        </w:rPr>
        <w:t xml:space="preserve">TIP: </w:t>
      </w:r>
      <w:r>
        <w:rPr>
          <w:color w:val="1C2233"/>
          <w:sz w:val="21"/>
          <w:szCs w:val="21"/>
        </w:rPr>
        <w:t xml:space="preserve">With idle capacity post-fire, any price above variable cost (₹5,460) adds contribution. The number was right, the process was wrong. Separate channel reporting keeps both views clean.</w:t>
      </w:r>
    </w:p>
    <w:p>
      <w:r>
        <w:br w:type="page"/>
      </w:r>
    </w:p>
    <w:p>
      <w:pPr>
        <w:pStyle w:val="Heading2"/>
        <w:spacing w:after="120" w:before="280"/>
      </w:pPr>
      <w:r>
        <w:rPr>
          <w:b/>
          <w:bCs/>
          <w:color w:val="2980B9"/>
        </w:rPr>
        <w:t xml:space="preserve">Phase 4: Performance Review (Round 14)</w:t>
      </w:r>
    </w:p>
    <w:p>
      <w:pPr>
        <w:spacing w:after="120"/>
      </w:pPr>
      <w:r>
        <w:rPr>
          <w:i/>
          <w:iCs/>
          <w:color w:val="7E8490"/>
          <w:sz w:val="22"/>
          <w:szCs w:val="22"/>
        </w:rPr>
        <w:t xml:space="preserve">The culmination — who is responsible for what?</w:t>
      </w:r>
    </w:p>
    <w:p>
      <w:pPr>
        <w:pStyle w:val="Heading3"/>
        <w:spacing w:after="120" w:before="280"/>
      </w:pPr>
      <w:r>
        <w:rPr>
          <w:b/>
          <w:bCs/>
          <w:color w:val="1C2233"/>
        </w:rPr>
        <w:t xml:space="preserve">Round 14: Responsibility Accounting</w:t>
      </w:r>
    </w:p>
    <w:p>
      <w:pPr>
        <w:spacing w:after="120"/>
      </w:pPr>
      <w:r>
        <w:rPr>
          <w:b/>
          <w:bCs/>
          <w:sz w:val="22"/>
          <w:szCs w:val="22"/>
        </w:rPr>
        <w:t xml:space="preserve">Your Decision: </w:t>
      </w:r>
      <w:r>
        <w:rPr>
          <w:sz w:val="22"/>
          <w:szCs w:val="22"/>
        </w:rPr>
        <w:t xml:space="preserve">How to structure the performance report. Split by function or by controllability? Evaluate response quality?</w:t>
      </w:r>
    </w:p>
    <w:p>
      <w:pPr>
        <w:spacing w:after="120"/>
      </w:pPr>
      <w:r>
        <w:rPr>
          <w:b/>
          <w:bCs/>
          <w:sz w:val="22"/>
          <w:szCs w:val="22"/>
        </w:rPr>
        <w:t xml:space="preserve">The Challenge: </w:t>
      </w:r>
      <w:r>
        <w:rPr>
          <w:sz w:val="22"/>
          <w:szCs w:val="22"/>
        </w:rPr>
        <w:t xml:space="preserve">Of ₹19.46 Cr total variance, ₹15.71 Cr (81%) was nobody's fault. The largest controllable loss — ₹4.54 Cr material usage — sat buried in noise.</w:t>
      </w:r>
    </w:p>
    <w:p>
      <w:pPr>
        <w:shd w:fill="E8F5E9" w:val="clear"/>
        <w:spacing w:after="120" w:before="120"/>
        <w:ind w:left="288" w:right="288"/>
      </w:pPr>
      <w:r>
        <w:rPr>
          <w:b/>
          <w:bCs/>
          <w:color w:val="1A8A5C"/>
          <w:sz w:val="21"/>
          <w:szCs w:val="21"/>
        </w:rPr>
        <w:t xml:space="preserve">TIP: </w:t>
      </w:r>
      <w:r>
        <w:rPr>
          <w:color w:val="1C2233"/>
          <w:sz w:val="21"/>
          <w:szCs w:val="21"/>
        </w:rPr>
        <w:t xml:space="preserve">A manager should not be rewarded or penalised for outcomes they cannot control. But they CAN be evaluated on their response to the uncontrollable.</w:t>
      </w:r>
    </w:p>
    <w:p>
      <w:pPr>
        <w:shd w:fill="FFF3E0" w:val="clear"/>
        <w:spacing w:after="120" w:before="120"/>
        <w:ind w:left="288" w:right="288"/>
      </w:pPr>
      <w:r>
        <w:rPr>
          <w:b/>
          <w:bCs/>
          <w:color w:val="D97B2B"/>
          <w:sz w:val="21"/>
          <w:szCs w:val="21"/>
        </w:rPr>
        <w:t xml:space="preserve">WATCH OUT: </w:t>
      </w:r>
      <w:r>
        <w:rPr>
          <w:color w:val="1C2233"/>
          <w:sz w:val="21"/>
          <w:szCs w:val="21"/>
        </w:rPr>
        <w:t xml:space="preserve">Reporting by function guarantees misattribution. The Plant Head gets charged ₹15.29 Cr including ₹9.69 Cr from the fire they could not prevent.</w:t>
      </w:r>
    </w:p>
    <w:p>
      <w:r>
        <w:br w:type="page"/>
      </w:r>
    </w:p>
    <w:p>
      <w:pPr>
        <w:pStyle w:val="Heading1"/>
        <w:spacing w:after="120" w:before="400"/>
      </w:pPr>
      <w:r>
        <w:rPr>
          <w:b/>
          <w:bCs/>
          <w:color w:val="D97B2B"/>
        </w:rPr>
        <w:t xml:space="preserve">Reference: The Nine Variances at Zenith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900"/>
        <w:gridCol w:w="1900"/>
      </w:tblGrid>
      <w:tr>
        <w:tc>
          <w:tcPr>
            <w:tcW w:type="dxa" w:w="2400"/>
            <w:shd w:fill="E8E4DC" w:val="clear"/>
          </w:tcPr>
          <w:p>
            <w:pPr>
              <w:spacing w:after="40" w:before="40"/>
            </w:pPr>
            <w:r>
              <w:rPr>
                <w:b/>
                <w:bCs/>
                <w:color w:val="1C2233"/>
                <w:sz w:val="20"/>
                <w:szCs w:val="20"/>
              </w:rPr>
              <w:t xml:space="preserve">Variance</w:t>
            </w:r>
          </w:p>
        </w:tc>
        <w:tc>
          <w:tcPr>
            <w:tcW w:type="dxa" w:w="1900"/>
            <w:shd w:fill="E8E4DC" w:val="clear"/>
          </w:tcPr>
          <w:p>
            <w:pPr>
              <w:spacing w:after="40" w:before="40"/>
            </w:pPr>
            <w:r>
              <w:rPr>
                <w:b/>
                <w:bCs/>
                <w:color w:val="1C2233"/>
                <w:sz w:val="20"/>
                <w:szCs w:val="20"/>
              </w:rPr>
              <w:t xml:space="preserve">Amount</w:t>
            </w:r>
          </w:p>
        </w:tc>
        <w:tc>
          <w:tcPr>
            <w:tcW w:type="dxa" w:w="1900"/>
            <w:shd w:fill="E8E4DC" w:val="clear"/>
          </w:tcPr>
          <w:p>
            <w:pPr>
              <w:spacing w:after="40" w:before="40"/>
            </w:pPr>
            <w:r>
              <w:rPr>
                <w:b/>
                <w:bCs/>
                <w:color w:val="1C2233"/>
                <w:sz w:val="20"/>
                <w:szCs w:val="20"/>
              </w:rPr>
              <w:t xml:space="preserve">F/U</w:t>
            </w:r>
          </w:p>
        </w:tc>
        <w:tc>
          <w:tcPr>
            <w:tcW w:type="dxa" w:w="1900"/>
            <w:shd w:fill="E8E4DC" w:val="clear"/>
          </w:tcPr>
          <w:p>
            <w:pPr>
              <w:spacing w:after="40" w:before="40"/>
            </w:pPr>
            <w:r>
              <w:rPr>
                <w:b/>
                <w:bCs/>
                <w:color w:val="1C2233"/>
                <w:sz w:val="20"/>
                <w:szCs w:val="20"/>
              </w:rPr>
              <w:t xml:space="preserve">Source</w:t>
            </w:r>
          </w:p>
        </w:tc>
        <w:tc>
          <w:tcPr>
            <w:tcW w:type="dxa" w:w="1900"/>
            <w:shd w:fill="E8E4DC" w:val="clear"/>
          </w:tcPr>
          <w:p>
            <w:pPr>
              <w:spacing w:after="40" w:before="40"/>
            </w:pPr>
            <w:r>
              <w:rPr>
                <w:b/>
                <w:bCs/>
                <w:color w:val="1C2233"/>
                <w:sz w:val="20"/>
                <w:szCs w:val="20"/>
              </w:rPr>
              <w:t xml:space="preserve">Controllable?</w:t>
            </w:r>
          </w:p>
        </w:tc>
      </w:tr>
      <w:tr>
        <w:tc>
          <w:tcPr>
            <w:tcW w:type="dxa" w:w="2400"/>
          </w:tcPr>
          <w:p>
            <w:pPr>
              <w:spacing w:after="40" w:before="40"/>
            </w:pPr>
            <w:r>
              <w:rPr>
                <w:b w:val="false"/>
                <w:bCs w:val="false"/>
                <w:color w:val="1C2233"/>
                <w:sz w:val="20"/>
                <w:szCs w:val="20"/>
              </w:rPr>
              <w:t xml:space="preserve">Sales Price</w:t>
            </w:r>
          </w:p>
        </w:tc>
        <w:tc>
          <w:tcPr>
            <w:tcW w:type="dxa" w:w="1900"/>
          </w:tcPr>
          <w:p>
            <w:pPr>
              <w:spacing w:after="40" w:before="40"/>
            </w:pPr>
            <w:r>
              <w:rPr>
                <w:b w:val="false"/>
                <w:bCs w:val="false"/>
                <w:color w:val="1C2233"/>
                <w:sz w:val="20"/>
                <w:szCs w:val="20"/>
              </w:rPr>
              <w:t xml:space="preserve">₹4.75 Cr</w:t>
            </w:r>
          </w:p>
        </w:tc>
        <w:tc>
          <w:tcPr>
            <w:tcW w:type="dxa" w:w="1900"/>
          </w:tcPr>
          <w:p>
            <w:pPr>
              <w:spacing w:after="40" w:before="40"/>
            </w:pPr>
            <w:r>
              <w:rPr>
                <w:b w:val="false"/>
                <w:bCs w:val="false"/>
                <w:color w:val="1C2233"/>
                <w:sz w:val="20"/>
                <w:szCs w:val="20"/>
              </w:rPr>
              <w:t xml:space="preserve">F</w:t>
            </w:r>
          </w:p>
        </w:tc>
        <w:tc>
          <w:tcPr>
            <w:tcW w:type="dxa" w:w="1900"/>
          </w:tcPr>
          <w:p>
            <w:pPr>
              <w:spacing w:after="40" w:before="40"/>
            </w:pPr>
            <w:r>
              <w:rPr>
                <w:b w:val="false"/>
                <w:bCs w:val="false"/>
                <w:color w:val="1C2233"/>
                <w:sz w:val="20"/>
                <w:szCs w:val="20"/>
              </w:rPr>
              <w:t xml:space="preserve">Price realisation above standard</w:t>
            </w:r>
          </w:p>
        </w:tc>
        <w:tc>
          <w:tcPr>
            <w:tcW w:type="dxa" w:w="1900"/>
          </w:tcPr>
          <w:p>
            <w:pPr>
              <w:spacing w:after="40" w:before="40"/>
            </w:pPr>
            <w:r>
              <w:rPr>
                <w:b w:val="false"/>
                <w:bCs w:val="false"/>
                <w:color w:val="1C2233"/>
                <w:sz w:val="20"/>
                <w:szCs w:val="20"/>
              </w:rPr>
              <w:t xml:space="preserve">Yes — VP Sales</w:t>
            </w:r>
          </w:p>
        </w:tc>
      </w:tr>
      <w:tr>
        <w:tc>
          <w:tcPr>
            <w:tcW w:type="dxa" w:w="2400"/>
          </w:tcPr>
          <w:p>
            <w:pPr>
              <w:spacing w:after="40" w:before="40"/>
            </w:pPr>
            <w:r>
              <w:rPr>
                <w:b w:val="false"/>
                <w:bCs w:val="false"/>
                <w:color w:val="1C2233"/>
                <w:sz w:val="20"/>
                <w:szCs w:val="20"/>
              </w:rPr>
              <w:t xml:space="preserve">Sales Volume</w:t>
            </w:r>
          </w:p>
        </w:tc>
        <w:tc>
          <w:tcPr>
            <w:tcW w:type="dxa" w:w="1900"/>
          </w:tcPr>
          <w:p>
            <w:pPr>
              <w:spacing w:after="40" w:before="40"/>
            </w:pPr>
            <w:r>
              <w:rPr>
                <w:b w:val="false"/>
                <w:bCs w:val="false"/>
                <w:color w:val="1C2233"/>
                <w:sz w:val="20"/>
                <w:szCs w:val="20"/>
              </w:rPr>
              <w:t xml:space="preserve">₹8.18 Cr</w:t>
            </w:r>
          </w:p>
        </w:tc>
        <w:tc>
          <w:tcPr>
            <w:tcW w:type="dxa" w:w="1900"/>
          </w:tcPr>
          <w:p>
            <w:pPr>
              <w:spacing w:after="40" w:before="40"/>
            </w:pPr>
            <w:r>
              <w:rPr>
                <w:b w:val="false"/>
                <w:bCs w:val="false"/>
                <w:color w:val="1C2233"/>
                <w:sz w:val="20"/>
                <w:szCs w:val="20"/>
              </w:rPr>
              <w:t xml:space="preserve">U</w:t>
            </w:r>
          </w:p>
        </w:tc>
        <w:tc>
          <w:tcPr>
            <w:tcW w:type="dxa" w:w="1900"/>
          </w:tcPr>
          <w:p>
            <w:pPr>
              <w:spacing w:after="40" w:before="40"/>
            </w:pPr>
            <w:r>
              <w:rPr>
                <w:b w:val="false"/>
                <w:bCs w:val="false"/>
                <w:color w:val="1C2233"/>
                <w:sz w:val="20"/>
                <w:szCs w:val="20"/>
              </w:rPr>
              <w:t xml:space="preserve">Fire capped production</w:t>
            </w:r>
          </w:p>
        </w:tc>
        <w:tc>
          <w:tcPr>
            <w:tcW w:type="dxa" w:w="1900"/>
          </w:tcPr>
          <w:p>
            <w:pPr>
              <w:spacing w:after="40" w:before="40"/>
            </w:pPr>
            <w:r>
              <w:rPr>
                <w:b w:val="false"/>
                <w:bCs w:val="false"/>
                <w:color w:val="1C2233"/>
                <w:sz w:val="20"/>
                <w:szCs w:val="20"/>
              </w:rPr>
              <w:t xml:space="preserve">No — Exceptional</w:t>
            </w:r>
          </w:p>
        </w:tc>
      </w:tr>
      <w:tr>
        <w:tc>
          <w:tcPr>
            <w:tcW w:type="dxa" w:w="2400"/>
          </w:tcPr>
          <w:p>
            <w:pPr>
              <w:spacing w:after="40" w:before="40"/>
            </w:pPr>
            <w:r>
              <w:rPr>
                <w:b w:val="false"/>
                <w:bCs w:val="false"/>
                <w:color w:val="1C2233"/>
                <w:sz w:val="20"/>
                <w:szCs w:val="20"/>
              </w:rPr>
              <w:t xml:space="preserve">Material Price</w:t>
            </w:r>
          </w:p>
        </w:tc>
        <w:tc>
          <w:tcPr>
            <w:tcW w:type="dxa" w:w="1900"/>
          </w:tcPr>
          <w:p>
            <w:pPr>
              <w:spacing w:after="40" w:before="40"/>
            </w:pPr>
            <w:r>
              <w:rPr>
                <w:b w:val="false"/>
                <w:bCs w:val="false"/>
                <w:color w:val="1C2233"/>
                <w:sz w:val="20"/>
                <w:szCs w:val="20"/>
              </w:rPr>
              <w:t xml:space="preserve">₹6.35 Cr</w:t>
            </w:r>
          </w:p>
        </w:tc>
        <w:tc>
          <w:tcPr>
            <w:tcW w:type="dxa" w:w="1900"/>
          </w:tcPr>
          <w:p>
            <w:pPr>
              <w:spacing w:after="40" w:before="40"/>
            </w:pPr>
            <w:r>
              <w:rPr>
                <w:b w:val="false"/>
                <w:bCs w:val="false"/>
                <w:color w:val="1C2233"/>
                <w:sz w:val="20"/>
                <w:szCs w:val="20"/>
              </w:rPr>
              <w:t xml:space="preserve">U</w:t>
            </w:r>
          </w:p>
        </w:tc>
        <w:tc>
          <w:tcPr>
            <w:tcW w:type="dxa" w:w="1900"/>
          </w:tcPr>
          <w:p>
            <w:pPr>
              <w:spacing w:after="40" w:before="40"/>
            </w:pPr>
            <w:r>
              <w:rPr>
                <w:b w:val="false"/>
                <w:bCs w:val="false"/>
                <w:color w:val="1C2233"/>
                <w:sz w:val="20"/>
                <w:szCs w:val="20"/>
              </w:rPr>
              <w:t xml:space="preserve">Currency + hedge failure</w:t>
            </w:r>
          </w:p>
        </w:tc>
        <w:tc>
          <w:tcPr>
            <w:tcW w:type="dxa" w:w="1900"/>
          </w:tcPr>
          <w:p>
            <w:pPr>
              <w:spacing w:after="40" w:before="40"/>
            </w:pPr>
            <w:r>
              <w:rPr>
                <w:b w:val="false"/>
                <w:bCs w:val="false"/>
                <w:color w:val="1C2233"/>
                <w:sz w:val="20"/>
                <w:szCs w:val="20"/>
              </w:rPr>
              <w:t xml:space="preserve">Partly — Procurement</w:t>
            </w:r>
          </w:p>
        </w:tc>
      </w:tr>
      <w:tr>
        <w:tc>
          <w:tcPr>
            <w:tcW w:type="dxa" w:w="2400"/>
          </w:tcPr>
          <w:p>
            <w:pPr>
              <w:spacing w:after="40" w:before="40"/>
            </w:pPr>
            <w:r>
              <w:rPr>
                <w:b w:val="false"/>
                <w:bCs w:val="false"/>
                <w:color w:val="1C2233"/>
                <w:sz w:val="20"/>
                <w:szCs w:val="20"/>
              </w:rPr>
              <w:t xml:space="preserve">Material Usage</w:t>
            </w:r>
          </w:p>
        </w:tc>
        <w:tc>
          <w:tcPr>
            <w:tcW w:type="dxa" w:w="1900"/>
          </w:tcPr>
          <w:p>
            <w:pPr>
              <w:spacing w:after="40" w:before="40"/>
            </w:pPr>
            <w:r>
              <w:rPr>
                <w:b w:val="false"/>
                <w:bCs w:val="false"/>
                <w:color w:val="1C2233"/>
                <w:sz w:val="20"/>
                <w:szCs w:val="20"/>
              </w:rPr>
              <w:t xml:space="preserve">₹4.54 Cr</w:t>
            </w:r>
          </w:p>
        </w:tc>
        <w:tc>
          <w:tcPr>
            <w:tcW w:type="dxa" w:w="1900"/>
          </w:tcPr>
          <w:p>
            <w:pPr>
              <w:spacing w:after="40" w:before="40"/>
            </w:pPr>
            <w:r>
              <w:rPr>
                <w:b w:val="false"/>
                <w:bCs w:val="false"/>
                <w:color w:val="1C2233"/>
                <w:sz w:val="20"/>
                <w:szCs w:val="20"/>
              </w:rPr>
              <w:t xml:space="preserve">U</w:t>
            </w:r>
          </w:p>
        </w:tc>
        <w:tc>
          <w:tcPr>
            <w:tcW w:type="dxa" w:w="1900"/>
          </w:tcPr>
          <w:p>
            <w:pPr>
              <w:spacing w:after="40" w:before="40"/>
            </w:pPr>
            <w:r>
              <w:rPr>
                <w:b w:val="false"/>
                <w:bCs w:val="false"/>
                <w:color w:val="1C2233"/>
                <w:sz w:val="20"/>
                <w:szCs w:val="20"/>
              </w:rPr>
              <w:t xml:space="preserve">Excess consumption</w:t>
            </w:r>
          </w:p>
        </w:tc>
        <w:tc>
          <w:tcPr>
            <w:tcW w:type="dxa" w:w="1900"/>
          </w:tcPr>
          <w:p>
            <w:pPr>
              <w:spacing w:after="40" w:before="40"/>
            </w:pPr>
            <w:r>
              <w:rPr>
                <w:b w:val="false"/>
                <w:bCs w:val="false"/>
                <w:color w:val="1C2233"/>
                <w:sz w:val="20"/>
                <w:szCs w:val="20"/>
              </w:rPr>
              <w:t xml:space="preserve">Yes — Plant Head</w:t>
            </w:r>
          </w:p>
        </w:tc>
      </w:tr>
      <w:tr>
        <w:tc>
          <w:tcPr>
            <w:tcW w:type="dxa" w:w="2400"/>
          </w:tcPr>
          <w:p>
            <w:pPr>
              <w:spacing w:after="40" w:before="40"/>
            </w:pPr>
            <w:r>
              <w:rPr>
                <w:b w:val="false"/>
                <w:bCs w:val="false"/>
                <w:color w:val="1C2233"/>
                <w:sz w:val="20"/>
                <w:szCs w:val="20"/>
              </w:rPr>
              <w:t xml:space="preserve">Labour Rate</w:t>
            </w:r>
          </w:p>
        </w:tc>
        <w:tc>
          <w:tcPr>
            <w:tcW w:type="dxa" w:w="1900"/>
          </w:tcPr>
          <w:p>
            <w:pPr>
              <w:spacing w:after="40" w:before="40"/>
            </w:pPr>
            <w:r>
              <w:rPr>
                <w:b w:val="false"/>
                <w:bCs w:val="false"/>
                <w:color w:val="1C2233"/>
                <w:sz w:val="20"/>
                <w:szCs w:val="20"/>
              </w:rPr>
              <w:t xml:space="preserve">₹1.40 Cr</w:t>
            </w:r>
          </w:p>
        </w:tc>
        <w:tc>
          <w:tcPr>
            <w:tcW w:type="dxa" w:w="1900"/>
          </w:tcPr>
          <w:p>
            <w:pPr>
              <w:spacing w:after="40" w:before="40"/>
            </w:pPr>
            <w:r>
              <w:rPr>
                <w:b w:val="false"/>
                <w:bCs w:val="false"/>
                <w:color w:val="1C2233"/>
                <w:sz w:val="20"/>
                <w:szCs w:val="20"/>
              </w:rPr>
              <w:t xml:space="preserve">U</w:t>
            </w:r>
          </w:p>
        </w:tc>
        <w:tc>
          <w:tcPr>
            <w:tcW w:type="dxa" w:w="1900"/>
          </w:tcPr>
          <w:p>
            <w:pPr>
              <w:spacing w:after="40" w:before="40"/>
            </w:pPr>
            <w:r>
              <w:rPr>
                <w:b w:val="false"/>
                <w:bCs w:val="false"/>
                <w:color w:val="1C2233"/>
                <w:sz w:val="20"/>
                <w:szCs w:val="20"/>
              </w:rPr>
              <w:t xml:space="preserve">Statutory wage revision</w:t>
            </w:r>
          </w:p>
        </w:tc>
        <w:tc>
          <w:tcPr>
            <w:tcW w:type="dxa" w:w="1900"/>
          </w:tcPr>
          <w:p>
            <w:pPr>
              <w:spacing w:after="40" w:before="40"/>
            </w:pPr>
            <w:r>
              <w:rPr>
                <w:b w:val="false"/>
                <w:bCs w:val="false"/>
                <w:color w:val="1C2233"/>
                <w:sz w:val="20"/>
                <w:szCs w:val="20"/>
              </w:rPr>
              <w:t xml:space="preserve">No — Statutory</w:t>
            </w:r>
          </w:p>
        </w:tc>
      </w:tr>
      <w:tr>
        <w:tc>
          <w:tcPr>
            <w:tcW w:type="dxa" w:w="2400"/>
          </w:tcPr>
          <w:p>
            <w:pPr>
              <w:spacing w:after="40" w:before="40"/>
            </w:pPr>
            <w:r>
              <w:rPr>
                <w:b w:val="false"/>
                <w:bCs w:val="false"/>
                <w:color w:val="1C2233"/>
                <w:sz w:val="20"/>
                <w:szCs w:val="20"/>
              </w:rPr>
              <w:t xml:space="preserve">Labour Efficiency</w:t>
            </w:r>
          </w:p>
        </w:tc>
        <w:tc>
          <w:tcPr>
            <w:tcW w:type="dxa" w:w="1900"/>
          </w:tcPr>
          <w:p>
            <w:pPr>
              <w:spacing w:after="40" w:before="40"/>
            </w:pPr>
            <w:r>
              <w:rPr>
                <w:b w:val="false"/>
                <w:bCs w:val="false"/>
                <w:color w:val="1C2233"/>
                <w:sz w:val="20"/>
                <w:szCs w:val="20"/>
              </w:rPr>
              <w:t xml:space="preserve">₹0.48 Cr</w:t>
            </w:r>
          </w:p>
        </w:tc>
        <w:tc>
          <w:tcPr>
            <w:tcW w:type="dxa" w:w="1900"/>
          </w:tcPr>
          <w:p>
            <w:pPr>
              <w:spacing w:after="40" w:before="40"/>
            </w:pPr>
            <w:r>
              <w:rPr>
                <w:b w:val="false"/>
                <w:bCs w:val="false"/>
                <w:color w:val="1C2233"/>
                <w:sz w:val="20"/>
                <w:szCs w:val="20"/>
              </w:rPr>
              <w:t xml:space="preserve">U</w:t>
            </w:r>
          </w:p>
        </w:tc>
        <w:tc>
          <w:tcPr>
            <w:tcW w:type="dxa" w:w="1900"/>
          </w:tcPr>
          <w:p>
            <w:pPr>
              <w:spacing w:after="40" w:before="40"/>
            </w:pPr>
            <w:r>
              <w:rPr>
                <w:b w:val="false"/>
                <w:bCs w:val="false"/>
                <w:color w:val="1C2233"/>
                <w:sz w:val="20"/>
                <w:szCs w:val="20"/>
              </w:rPr>
              <w:t xml:space="preserve">Post-fire relearning curve</w:t>
            </w:r>
          </w:p>
        </w:tc>
        <w:tc>
          <w:tcPr>
            <w:tcW w:type="dxa" w:w="1900"/>
          </w:tcPr>
          <w:p>
            <w:pPr>
              <w:spacing w:after="40" w:before="40"/>
            </w:pPr>
            <w:r>
              <w:rPr>
                <w:b w:val="false"/>
                <w:bCs w:val="false"/>
                <w:color w:val="1C2233"/>
                <w:sz w:val="20"/>
                <w:szCs w:val="20"/>
              </w:rPr>
              <w:t xml:space="preserve">Partly — Plant</w:t>
            </w:r>
          </w:p>
        </w:tc>
      </w:tr>
      <w:tr>
        <w:tc>
          <w:tcPr>
            <w:tcW w:type="dxa" w:w="2400"/>
          </w:tcPr>
          <w:p>
            <w:pPr>
              <w:spacing w:after="40" w:before="40"/>
            </w:pPr>
            <w:r>
              <w:rPr>
                <w:b w:val="false"/>
                <w:bCs w:val="false"/>
                <w:color w:val="1C2233"/>
                <w:sz w:val="20"/>
                <w:szCs w:val="20"/>
              </w:rPr>
              <w:t xml:space="preserve">VOH Spending</w:t>
            </w:r>
          </w:p>
        </w:tc>
        <w:tc>
          <w:tcPr>
            <w:tcW w:type="dxa" w:w="1900"/>
          </w:tcPr>
          <w:p>
            <w:pPr>
              <w:spacing w:after="40" w:before="40"/>
            </w:pPr>
            <w:r>
              <w:rPr>
                <w:b w:val="false"/>
                <w:bCs w:val="false"/>
                <w:color w:val="1C2233"/>
                <w:sz w:val="20"/>
                <w:szCs w:val="20"/>
              </w:rPr>
              <w:t xml:space="preserve">₹0.77 Cr</w:t>
            </w:r>
          </w:p>
        </w:tc>
        <w:tc>
          <w:tcPr>
            <w:tcW w:type="dxa" w:w="1900"/>
          </w:tcPr>
          <w:p>
            <w:pPr>
              <w:spacing w:after="40" w:before="40"/>
            </w:pPr>
            <w:r>
              <w:rPr>
                <w:b w:val="false"/>
                <w:bCs w:val="false"/>
                <w:color w:val="1C2233"/>
                <w:sz w:val="20"/>
                <w:szCs w:val="20"/>
              </w:rPr>
              <w:t xml:space="preserve">U</w:t>
            </w:r>
          </w:p>
        </w:tc>
        <w:tc>
          <w:tcPr>
            <w:tcW w:type="dxa" w:w="1900"/>
          </w:tcPr>
          <w:p>
            <w:pPr>
              <w:spacing w:after="40" w:before="40"/>
            </w:pPr>
            <w:r>
              <w:rPr>
                <w:b w:val="false"/>
                <w:bCs w:val="false"/>
                <w:color w:val="1C2233"/>
                <w:sz w:val="20"/>
                <w:szCs w:val="20"/>
              </w:rPr>
              <w:t xml:space="preserve">Operations</w:t>
            </w:r>
          </w:p>
        </w:tc>
        <w:tc>
          <w:tcPr>
            <w:tcW w:type="dxa" w:w="1900"/>
          </w:tcPr>
          <w:p>
            <w:pPr>
              <w:spacing w:after="40" w:before="40"/>
            </w:pPr>
            <w:r>
              <w:rPr>
                <w:b w:val="false"/>
                <w:bCs w:val="false"/>
                <w:color w:val="1C2233"/>
                <w:sz w:val="20"/>
                <w:szCs w:val="20"/>
              </w:rPr>
              <w:t xml:space="preserve">Yes — Plant Head</w:t>
            </w:r>
          </w:p>
        </w:tc>
      </w:tr>
      <w:tr>
        <w:tc>
          <w:tcPr>
            <w:tcW w:type="dxa" w:w="2400"/>
          </w:tcPr>
          <w:p>
            <w:pPr>
              <w:spacing w:after="40" w:before="40"/>
            </w:pPr>
            <w:r>
              <w:rPr>
                <w:b w:val="false"/>
                <w:bCs w:val="false"/>
                <w:color w:val="1C2233"/>
                <w:sz w:val="20"/>
                <w:szCs w:val="20"/>
              </w:rPr>
              <w:t xml:space="preserve">VOH Efficiency</w:t>
            </w:r>
          </w:p>
        </w:tc>
        <w:tc>
          <w:tcPr>
            <w:tcW w:type="dxa" w:w="1900"/>
          </w:tcPr>
          <w:p>
            <w:pPr>
              <w:spacing w:after="40" w:before="40"/>
            </w:pPr>
            <w:r>
              <w:rPr>
                <w:b w:val="false"/>
                <w:bCs w:val="false"/>
                <w:color w:val="1C2233"/>
                <w:sz w:val="20"/>
                <w:szCs w:val="20"/>
              </w:rPr>
              <w:t xml:space="preserve">₹0.30 Cr</w:t>
            </w:r>
          </w:p>
        </w:tc>
        <w:tc>
          <w:tcPr>
            <w:tcW w:type="dxa" w:w="1900"/>
          </w:tcPr>
          <w:p>
            <w:pPr>
              <w:spacing w:after="40" w:before="40"/>
            </w:pPr>
            <w:r>
              <w:rPr>
                <w:b w:val="false"/>
                <w:bCs w:val="false"/>
                <w:color w:val="1C2233"/>
                <w:sz w:val="20"/>
                <w:szCs w:val="20"/>
              </w:rPr>
              <w:t xml:space="preserve">U</w:t>
            </w:r>
          </w:p>
        </w:tc>
        <w:tc>
          <w:tcPr>
            <w:tcW w:type="dxa" w:w="1900"/>
          </w:tcPr>
          <w:p>
            <w:pPr>
              <w:spacing w:after="40" w:before="40"/>
            </w:pPr>
            <w:r>
              <w:rPr>
                <w:b w:val="false"/>
                <w:bCs w:val="false"/>
                <w:color w:val="1C2233"/>
                <w:sz w:val="20"/>
                <w:szCs w:val="20"/>
              </w:rPr>
              <w:t xml:space="preserve">Operations</w:t>
            </w:r>
          </w:p>
        </w:tc>
        <w:tc>
          <w:tcPr>
            <w:tcW w:type="dxa" w:w="1900"/>
          </w:tcPr>
          <w:p>
            <w:pPr>
              <w:spacing w:after="40" w:before="40"/>
            </w:pPr>
            <w:r>
              <w:rPr>
                <w:b w:val="false"/>
                <w:bCs w:val="false"/>
                <w:color w:val="1C2233"/>
                <w:sz w:val="20"/>
                <w:szCs w:val="20"/>
              </w:rPr>
              <w:t xml:space="preserve">Yes — Plant Head</w:t>
            </w:r>
          </w:p>
        </w:tc>
      </w:tr>
      <w:tr>
        <w:tc>
          <w:tcPr>
            <w:tcW w:type="dxa" w:w="2400"/>
          </w:tcPr>
          <w:p>
            <w:pPr>
              <w:spacing w:after="40" w:before="40"/>
            </w:pPr>
            <w:r>
              <w:rPr>
                <w:b w:val="false"/>
                <w:bCs w:val="false"/>
                <w:color w:val="1C2233"/>
                <w:sz w:val="20"/>
                <w:szCs w:val="20"/>
              </w:rPr>
              <w:t xml:space="preserve">FOH Spending</w:t>
            </w:r>
          </w:p>
        </w:tc>
        <w:tc>
          <w:tcPr>
            <w:tcW w:type="dxa" w:w="1900"/>
          </w:tcPr>
          <w:p>
            <w:pPr>
              <w:spacing w:after="40" w:before="40"/>
            </w:pPr>
            <w:r>
              <w:rPr>
                <w:b w:val="false"/>
                <w:bCs w:val="false"/>
                <w:color w:val="1C2233"/>
                <w:sz w:val="20"/>
                <w:szCs w:val="20"/>
              </w:rPr>
              <w:t xml:space="preserve">₹0.68 Cr</w:t>
            </w:r>
          </w:p>
        </w:tc>
        <w:tc>
          <w:tcPr>
            <w:tcW w:type="dxa" w:w="1900"/>
          </w:tcPr>
          <w:p>
            <w:pPr>
              <w:spacing w:after="40" w:before="40"/>
            </w:pPr>
            <w:r>
              <w:rPr>
                <w:b w:val="false"/>
                <w:bCs w:val="false"/>
                <w:color w:val="1C2233"/>
                <w:sz w:val="20"/>
                <w:szCs w:val="20"/>
              </w:rPr>
              <w:t xml:space="preserve">U</w:t>
            </w:r>
          </w:p>
        </w:tc>
        <w:tc>
          <w:tcPr>
            <w:tcW w:type="dxa" w:w="1900"/>
          </w:tcPr>
          <w:p>
            <w:pPr>
              <w:spacing w:after="40" w:before="40"/>
            </w:pPr>
            <w:r>
              <w:rPr>
                <w:b w:val="false"/>
                <w:bCs w:val="false"/>
                <w:color w:val="1C2233"/>
                <w:sz w:val="20"/>
                <w:szCs w:val="20"/>
              </w:rPr>
              <w:t xml:space="preserve">Partly fire repair costs</w:t>
            </w:r>
          </w:p>
        </w:tc>
        <w:tc>
          <w:tcPr>
            <w:tcW w:type="dxa" w:w="1900"/>
          </w:tcPr>
          <w:p>
            <w:pPr>
              <w:spacing w:after="40" w:before="40"/>
            </w:pPr>
            <w:r>
              <w:rPr>
                <w:b w:val="false"/>
                <w:bCs w:val="false"/>
                <w:color w:val="1C2233"/>
                <w:sz w:val="20"/>
                <w:szCs w:val="20"/>
              </w:rPr>
              <w:t xml:space="preserve">Partly</w:t>
            </w:r>
          </w:p>
        </w:tc>
      </w:tr>
      <w:tr>
        <w:tc>
          <w:tcPr>
            <w:tcW w:type="dxa" w:w="2400"/>
          </w:tcPr>
          <w:p>
            <w:pPr>
              <w:spacing w:after="40" w:before="40"/>
            </w:pPr>
            <w:r>
              <w:rPr>
                <w:b w:val="false"/>
                <w:bCs w:val="false"/>
                <w:color w:val="1C2233"/>
                <w:sz w:val="20"/>
                <w:szCs w:val="20"/>
              </w:rPr>
              <w:t xml:space="preserve">FOH Volume</w:t>
            </w:r>
          </w:p>
        </w:tc>
        <w:tc>
          <w:tcPr>
            <w:tcW w:type="dxa" w:w="1900"/>
          </w:tcPr>
          <w:p>
            <w:pPr>
              <w:spacing w:after="40" w:before="40"/>
            </w:pPr>
            <w:r>
              <w:rPr>
                <w:b w:val="false"/>
                <w:bCs w:val="false"/>
                <w:color w:val="1C2233"/>
                <w:sz w:val="20"/>
                <w:szCs w:val="20"/>
              </w:rPr>
              <w:t xml:space="preserve">₹1.51 Cr</w:t>
            </w:r>
          </w:p>
        </w:tc>
        <w:tc>
          <w:tcPr>
            <w:tcW w:type="dxa" w:w="1900"/>
          </w:tcPr>
          <w:p>
            <w:pPr>
              <w:spacing w:after="40" w:before="40"/>
            </w:pPr>
            <w:r>
              <w:rPr>
                <w:b w:val="false"/>
                <w:bCs w:val="false"/>
                <w:color w:val="1C2233"/>
                <w:sz w:val="20"/>
                <w:szCs w:val="20"/>
              </w:rPr>
              <w:t xml:space="preserve">U</w:t>
            </w:r>
          </w:p>
        </w:tc>
        <w:tc>
          <w:tcPr>
            <w:tcW w:type="dxa" w:w="1900"/>
          </w:tcPr>
          <w:p>
            <w:pPr>
              <w:spacing w:after="40" w:before="40"/>
            </w:pPr>
            <w:r>
              <w:rPr>
                <w:b w:val="false"/>
                <w:bCs w:val="false"/>
                <w:color w:val="1C2233"/>
                <w:sz w:val="20"/>
                <w:szCs w:val="20"/>
              </w:rPr>
              <w:t xml:space="preserve">Fire reduced absorption</w:t>
            </w:r>
          </w:p>
        </w:tc>
        <w:tc>
          <w:tcPr>
            <w:tcW w:type="dxa" w:w="1900"/>
          </w:tcPr>
          <w:p>
            <w:pPr>
              <w:spacing w:after="40" w:before="40"/>
            </w:pPr>
            <w:r>
              <w:rPr>
                <w:b w:val="false"/>
                <w:bCs w:val="false"/>
                <w:color w:val="1C2233"/>
                <w:sz w:val="20"/>
                <w:szCs w:val="20"/>
              </w:rPr>
              <w:t xml:space="preserve">No — Exceptional</w:t>
            </w:r>
          </w:p>
        </w:tc>
      </w:tr>
    </w:tbl>
    <w:p>
      <w:pPr>
        <w:pBdr>
          <w:bottom w:val="single" w:color="7E8490" w:sz="1"/>
        </w:pBdr>
        <w:spacing w:after="200" w:before="200"/>
      </w:pPr>
    </w:p>
    <w:p>
      <w:pPr>
        <w:pStyle w:val="Heading1"/>
        <w:spacing w:after="120" w:before="400"/>
      </w:pPr>
      <w:r>
        <w:rPr>
          <w:b/>
          <w:bCs/>
          <w:color w:val="D97B2B"/>
        </w:rPr>
        <w:t xml:space="preserve">Your Final Assessment</w:t>
      </w:r>
    </w:p>
    <w:p>
      <w:pPr>
        <w:spacing w:after="120"/>
      </w:pPr>
      <w:r>
        <w:rPr>
          <w:color w:val="1C2233"/>
          <w:sz w:val="22"/>
          <w:szCs w:val="22"/>
        </w:rPr>
        <w:t xml:space="preserve">At the end of 14 rounds, you receive:</w:t>
      </w:r>
    </w:p>
    <w:p>
      <w:pPr>
        <w:pStyle w:val="ListParagraph"/>
        <w:numPr>
          <w:ilvl w:val="0"/>
          <w:numId w:val="2"/>
        </w:numPr>
        <w:spacing w:after="60"/>
      </w:pPr>
      <w:r>
        <w:rPr>
          <w:sz w:val="22"/>
          <w:szCs w:val="22"/>
        </w:rPr>
        <w:t xml:space="preserve">A percentage score and grade (Distinction / Merit / Pass / Marginal / Fail)</w:t>
      </w:r>
    </w:p>
    <w:p>
      <w:pPr>
        <w:pStyle w:val="ListParagraph"/>
        <w:numPr>
          <w:ilvl w:val="0"/>
          <w:numId w:val="2"/>
        </w:numPr>
        <w:spacing w:after="60"/>
      </w:pPr>
      <w:r>
        <w:rPr>
          <w:sz w:val="22"/>
          <w:szCs w:val="22"/>
        </w:rPr>
        <w:t xml:space="preserve">An executive profile that describes your decision-making style</w:t>
      </w:r>
    </w:p>
    <w:p>
      <w:pPr>
        <w:pStyle w:val="ListParagraph"/>
        <w:numPr>
          <w:ilvl w:val="0"/>
          <w:numId w:val="2"/>
        </w:numPr>
        <w:spacing w:after="60"/>
      </w:pPr>
      <w:r>
        <w:rPr>
          <w:sz w:val="22"/>
          <w:szCs w:val="22"/>
        </w:rPr>
        <w:t xml:space="preserve">A variance waterfall showing how budgeted gross profit became actual</w:t>
      </w:r>
    </w:p>
    <w:p>
      <w:pPr>
        <w:pStyle w:val="ListParagraph"/>
        <w:numPr>
          <w:ilvl w:val="0"/>
          <w:numId w:val="2"/>
        </w:numPr>
        <w:spacing w:after="60"/>
      </w:pPr>
      <w:r>
        <w:rPr>
          <w:sz w:val="22"/>
          <w:szCs w:val="22"/>
        </w:rPr>
        <w:t xml:space="preserve">The standard cost card you built in Round 9</w:t>
      </w:r>
    </w:p>
    <w:p>
      <w:pPr>
        <w:pStyle w:val="ListParagraph"/>
        <w:numPr>
          <w:ilvl w:val="0"/>
          <w:numId w:val="2"/>
        </w:numPr>
        <w:spacing w:after="60"/>
      </w:pPr>
      <w:r>
        <w:rPr>
          <w:sz w:val="22"/>
          <w:szCs w:val="22"/>
        </w:rPr>
        <w:t xml:space="preserve">An attribution matrix showing which variances were controllable</w:t>
      </w:r>
    </w:p>
    <w:p>
      <w:pPr>
        <w:pStyle w:val="ListParagraph"/>
        <w:numPr>
          <w:ilvl w:val="0"/>
          <w:numId w:val="2"/>
        </w:numPr>
        <w:spacing w:after="60"/>
      </w:pPr>
      <w:r>
        <w:rPr>
          <w:sz w:val="22"/>
          <w:szCs w:val="22"/>
        </w:rPr>
        <w:t xml:space="preserve">A round-by-round breakdown of your performance</w:t>
      </w:r>
    </w:p>
    <w:p>
      <w:pPr>
        <w:pStyle w:val="Heading2"/>
        <w:spacing w:after="120" w:before="280"/>
      </w:pPr>
      <w:r>
        <w:rPr>
          <w:b/>
          <w:bCs/>
          <w:color w:val="2980B9"/>
        </w:rPr>
        <w:t xml:space="preserve">Executive Profiles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c>
          <w:tcPr>
            <w:tcW w:type="dxa" w:w="2400"/>
            <w:shd w:fill="E8E4DC" w:val="clear"/>
          </w:tcPr>
          <w:p>
            <w:pPr>
              <w:spacing w:after="40" w:before="40"/>
            </w:pPr>
            <w:r>
              <w:rPr>
                <w:b/>
                <w:bCs/>
                <w:color w:val="1C2233"/>
                <w:sz w:val="20"/>
                <w:szCs w:val="20"/>
              </w:rPr>
              <w:t xml:space="preserve">Profile</w:t>
            </w:r>
          </w:p>
        </w:tc>
        <w:tc>
          <w:tcPr>
            <w:tcW w:type="dxa" w:w="7600"/>
            <w:shd w:fill="E8E4DC" w:val="clear"/>
          </w:tcPr>
          <w:p>
            <w:pPr>
              <w:spacing w:after="40" w:before="40"/>
            </w:pPr>
            <w:r>
              <w:rPr>
                <w:b/>
                <w:bCs/>
                <w:color w:val="1C2233"/>
                <w:sz w:val="20"/>
                <w:szCs w:val="20"/>
              </w:rPr>
              <w:t xml:space="preserve">What It Means</w:t>
            </w:r>
          </w:p>
        </w:tc>
      </w:tr>
      <w:tr>
        <w:tc>
          <w:tcPr>
            <w:tcW w:type="dxa" w:w="2400"/>
          </w:tcPr>
          <w:p>
            <w:pPr>
              <w:spacing w:after="40" w:before="40"/>
            </w:pPr>
            <w:r>
              <w:rPr>
                <w:b w:val="false"/>
                <w:bCs w:val="false"/>
                <w:color w:val="1C2233"/>
                <w:sz w:val="20"/>
                <w:szCs w:val="20"/>
              </w:rPr>
              <w:t xml:space="preserve">The Balanced Controller</w:t>
            </w:r>
          </w:p>
        </w:tc>
        <w:tc>
          <w:tcPr>
            <w:tcW w:type="dxa" w:w="7600"/>
          </w:tcPr>
          <w:p>
            <w:pPr>
              <w:spacing w:after="40" w:before="40"/>
            </w:pPr>
            <w:r>
              <w:rPr>
                <w:b w:val="false"/>
                <w:bCs w:val="false"/>
                <w:color w:val="1C2233"/>
                <w:sz w:val="20"/>
                <w:szCs w:val="20"/>
              </w:rPr>
              <w:t xml:space="preserve">The profile this module is designed to produce. You separated controllable from uncontrollable, kept standards achievable, and held managers accountable fairly.</w:t>
            </w:r>
          </w:p>
        </w:tc>
      </w:tr>
      <w:tr>
        <w:tc>
          <w:tcPr>
            <w:tcW w:type="dxa" w:w="2400"/>
          </w:tcPr>
          <w:p>
            <w:pPr>
              <w:spacing w:after="40" w:before="40"/>
            </w:pPr>
            <w:r>
              <w:rPr>
                <w:b w:val="false"/>
                <w:bCs w:val="false"/>
                <w:color w:val="1C2233"/>
                <w:sz w:val="20"/>
                <w:szCs w:val="20"/>
              </w:rPr>
              <w:t xml:space="preserve">The Controllability Purist</w:t>
            </w:r>
          </w:p>
        </w:tc>
        <w:tc>
          <w:tcPr>
            <w:tcW w:type="dxa" w:w="7600"/>
          </w:tcPr>
          <w:p>
            <w:pPr>
              <w:spacing w:after="40" w:before="40"/>
            </w:pPr>
            <w:r>
              <w:rPr>
                <w:b w:val="false"/>
                <w:bCs w:val="false"/>
                <w:color w:val="1C2233"/>
                <w:sz w:val="20"/>
                <w:szCs w:val="20"/>
              </w:rPr>
              <w:t xml:space="preserve">You correctly separated controllable from uncontrollable but sometimes used the principle to avoid accountability for response quality.</w:t>
            </w:r>
          </w:p>
        </w:tc>
      </w:tr>
      <w:tr>
        <w:tc>
          <w:tcPr>
            <w:tcW w:type="dxa" w:w="2400"/>
          </w:tcPr>
          <w:p>
            <w:pPr>
              <w:spacing w:after="40" w:before="40"/>
            </w:pPr>
            <w:r>
              <w:rPr>
                <w:b w:val="false"/>
                <w:bCs w:val="false"/>
                <w:color w:val="1C2233"/>
                <w:sz w:val="20"/>
                <w:szCs w:val="20"/>
              </w:rPr>
              <w:t xml:space="preserve">The Volume Chaser</w:t>
            </w:r>
          </w:p>
        </w:tc>
        <w:tc>
          <w:tcPr>
            <w:tcW w:type="dxa" w:w="7600"/>
          </w:tcPr>
          <w:p>
            <w:pPr>
              <w:spacing w:after="40" w:before="40"/>
            </w:pPr>
            <w:r>
              <w:rPr>
                <w:b w:val="false"/>
                <w:bCs w:val="false"/>
                <w:color w:val="1C2233"/>
                <w:sz w:val="20"/>
                <w:szCs w:val="20"/>
              </w:rPr>
              <w:t xml:space="preserve">You focused on hitting revenue targets and under-weighted standard-setting and attribution.</w:t>
            </w:r>
          </w:p>
        </w:tc>
      </w:tr>
      <w:tr>
        <w:tc>
          <w:tcPr>
            <w:tcW w:type="dxa" w:w="2400"/>
          </w:tcPr>
          <w:p>
            <w:pPr>
              <w:spacing w:after="40" w:before="40"/>
            </w:pPr>
            <w:r>
              <w:rPr>
                <w:b w:val="false"/>
                <w:bCs w:val="false"/>
                <w:color w:val="1C2233"/>
                <w:sz w:val="20"/>
                <w:szCs w:val="20"/>
              </w:rPr>
              <w:t xml:space="preserve">The Padder</w:t>
            </w:r>
          </w:p>
        </w:tc>
        <w:tc>
          <w:tcPr>
            <w:tcW w:type="dxa" w:w="7600"/>
          </w:tcPr>
          <w:p>
            <w:pPr>
              <w:spacing w:after="40" w:before="40"/>
            </w:pPr>
            <w:r>
              <w:rPr>
                <w:b w:val="false"/>
                <w:bCs w:val="false"/>
                <w:color w:val="1C2233"/>
                <w:sz w:val="20"/>
                <w:szCs w:val="20"/>
              </w:rPr>
              <w:t xml:space="preserve">You built buffers into standards and accepted slack as prudence. Your variances are always favourable and always meaningless.</w:t>
            </w:r>
          </w:p>
        </w:tc>
      </w:tr>
      <w:tr>
        <w:tc>
          <w:tcPr>
            <w:tcW w:type="dxa" w:w="2400"/>
          </w:tcPr>
          <w:p>
            <w:pPr>
              <w:spacing w:after="40" w:before="40"/>
            </w:pPr>
            <w:r>
              <w:rPr>
                <w:b w:val="false"/>
                <w:bCs w:val="false"/>
                <w:color w:val="1C2233"/>
                <w:sz w:val="20"/>
                <w:szCs w:val="20"/>
              </w:rPr>
              <w:t xml:space="preserve">The Blamer</w:t>
            </w:r>
          </w:p>
        </w:tc>
        <w:tc>
          <w:tcPr>
            <w:tcW w:type="dxa" w:w="7600"/>
          </w:tcPr>
          <w:p>
            <w:pPr>
              <w:spacing w:after="40" w:before="40"/>
            </w:pPr>
            <w:r>
              <w:rPr>
                <w:b w:val="false"/>
                <w:bCs w:val="false"/>
                <w:color w:val="1C2233"/>
                <w:sz w:val="20"/>
                <w:szCs w:val="20"/>
              </w:rPr>
              <w:t xml:space="preserve">You assigned unfavourable variances to other functions and retained favourable ones. Skilled at the argument, destructive to the process.</w:t>
            </w:r>
          </w:p>
        </w:tc>
      </w:tr>
    </w:tbl>
    <w:p>
      <w:r>
        <w:br w:type="page"/>
      </w:r>
    </w:p>
    <w:p>
      <w:pPr>
        <w:pStyle w:val="Heading1"/>
        <w:spacing w:after="120" w:before="400"/>
      </w:pPr>
      <w:r>
        <w:rPr>
          <w:b/>
          <w:bCs/>
          <w:color w:val="D97B2B"/>
        </w:rPr>
        <w:t xml:space="preserve">Five Principles to Take Away</w:t>
      </w:r>
    </w:p>
    <w:p>
      <w:pPr>
        <w:spacing w:after="160" w:before="200"/>
      </w:pPr>
      <w:r>
        <w:rPr>
          <w:b/>
          <w:bCs/>
          <w:color w:val="D97B2B"/>
          <w:sz w:val="24"/>
          <w:szCs w:val="24"/>
        </w:rPr>
        <w:t xml:space="preserve">1. Push forward thinking, not just roll forward the past.</w:t>
      </w:r>
    </w:p>
    <w:p>
      <w:pPr>
        <w:spacing w:after="120"/>
      </w:pPr>
      <w:r>
        <w:rPr>
          <w:color w:val="1C2233"/>
          <w:sz w:val="22"/>
          <w:szCs w:val="22"/>
        </w:rPr>
        <w:t xml:space="preserve">A budget should challenge the organisation, not confirm what it already knows.</w:t>
      </w:r>
    </w:p>
    <w:p>
      <w:pPr>
        <w:spacing w:after="160" w:before="200"/>
      </w:pPr>
      <w:r>
        <w:rPr>
          <w:b/>
          <w:bCs/>
          <w:color w:val="D97B2B"/>
          <w:sz w:val="24"/>
          <w:szCs w:val="24"/>
        </w:rPr>
        <w:t xml:space="preserve">2. Focus on doing the right thing first.</w:t>
      </w:r>
    </w:p>
    <w:p>
      <w:pPr>
        <w:spacing w:after="120"/>
      </w:pPr>
      <w:r>
        <w:rPr>
          <w:color w:val="1C2233"/>
          <w:sz w:val="22"/>
          <w:szCs w:val="22"/>
        </w:rPr>
        <w:t xml:space="preserve">A wrong thing done right is still wrong. Set the standard correctly before worrying about meeting it.</w:t>
      </w:r>
    </w:p>
    <w:p>
      <w:pPr>
        <w:spacing w:after="160" w:before="200"/>
      </w:pPr>
      <w:r>
        <w:rPr>
          <w:b/>
          <w:bCs/>
          <w:color w:val="D97B2B"/>
          <w:sz w:val="24"/>
          <w:szCs w:val="24"/>
        </w:rPr>
        <w:t xml:space="preserve">3. Have clarity and transparency.</w:t>
      </w:r>
    </w:p>
    <w:p>
      <w:pPr>
        <w:spacing w:after="120"/>
      </w:pPr>
      <w:r>
        <w:rPr>
          <w:color w:val="1C2233"/>
          <w:sz w:val="22"/>
          <w:szCs w:val="22"/>
        </w:rPr>
        <w:t xml:space="preserve">Do not allow others to fool you, and do not fool yourself. Present honestly and let the board own the decision.</w:t>
      </w:r>
    </w:p>
    <w:p>
      <w:pPr>
        <w:spacing w:after="160" w:before="200"/>
      </w:pPr>
      <w:r>
        <w:rPr>
          <w:b/>
          <w:bCs/>
          <w:color w:val="D97B2B"/>
          <w:sz w:val="24"/>
          <w:szCs w:val="24"/>
        </w:rPr>
        <w:t xml:space="preserve">4. Variance analysis is a journey.</w:t>
      </w:r>
    </w:p>
    <w:p>
      <w:pPr>
        <w:spacing w:after="120"/>
      </w:pPr>
      <w:r>
        <w:rPr>
          <w:color w:val="1C2233"/>
          <w:sz w:val="22"/>
          <w:szCs w:val="22"/>
        </w:rPr>
        <w:t xml:space="preserve">Dig deeper, learn from the past, provide direction for the future. The variance system is an instrument of management, not of blame.</w:t>
      </w:r>
    </w:p>
    <w:p>
      <w:pPr>
        <w:spacing w:after="160" w:before="200"/>
      </w:pPr>
      <w:r>
        <w:rPr>
          <w:b/>
          <w:bCs/>
          <w:color w:val="D97B2B"/>
          <w:sz w:val="24"/>
          <w:szCs w:val="24"/>
        </w:rPr>
        <w:t xml:space="preserve">5. The variance system was not the problem. The attribution was.</w:t>
      </w:r>
    </w:p>
    <w:p>
      <w:pPr>
        <w:spacing w:after="120"/>
      </w:pPr>
      <w:r>
        <w:rPr>
          <w:color w:val="1C2233"/>
          <w:sz w:val="22"/>
          <w:szCs w:val="22"/>
        </w:rPr>
        <w:t xml:space="preserve">Equating responsibility with controllability converts the variance report from an instrument of blame into an instrument of management.</w:t>
      </w:r>
    </w:p>
    <w:p>
      <w:pPr>
        <w:pBdr>
          <w:bottom w:val="single" w:color="7E8490" w:sz="1"/>
        </w:pBdr>
        <w:spacing w:after="200" w:before="200"/>
      </w:pPr>
    </w:p>
    <w:p>
      <w:pPr>
        <w:spacing w:before="300"/>
        <w:jc w:val="center"/>
      </w:pPr>
      <w:r>
        <w:rPr>
          <w:rFonts w:ascii="Georgia" w:cs="Georgia" w:eastAsia="Georgia" w:hAnsi="Georgia"/>
          <w:b/>
          <w:bCs/>
          <w:i/>
          <w:iCs/>
          <w:color w:val="D97B2B"/>
          <w:sz w:val="26"/>
          <w:szCs w:val="26"/>
        </w:rPr>
        <w:t xml:space="preserve">Good luck in the War Room.</w:t>
      </w:r>
    </w:p>
    <w:p>
      <w:pPr>
        <w:spacing w:before="200"/>
        <w:jc w:val="center"/>
      </w:pPr>
      <w:r>
        <w:rPr>
          <w:i/>
          <w:iCs/>
          <w:color w:val="7E8490"/>
          <w:sz w:val="20"/>
          <w:szCs w:val="20"/>
        </w:rPr>
        <w:t xml:space="preserve">SimuLok — India's Business Simulation Platform</w:t>
      </w:r>
    </w:p>
    <w:p>
      <w:pPr>
        <w:jc w:val="center"/>
      </w:pPr>
      <w:r>
        <w:rPr>
          <w:color w:val="7E8490"/>
          <w:sz w:val="18"/>
          <w:szCs w:val="18"/>
        </w:rPr>
        <w:t xml:space="preserve">Based on Horngren's Cost Accounting · For Executive MBA</w:t>
      </w:r>
    </w:p>
    <w:sectPr>
      <w:pgSz w:w="12240" w:h="15840"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lvl w:ilvl="1" w15:tentative="1">
      <w:start w:val="1"/>
      <w:numFmt w:val="bullet"/>
      <w:lvlText w:val="◦"/>
      <w:lvlJc w:val="left"/>
      <w:pPr>
        <w:ind w:left="863"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2026-09-04T01:07:17.000Z</dcterms:created>
  <dcterms:modified xsi:type="dcterms:W3CDTF">2026-09-04T01:07:17.001Z</dcterms:modified>
</cp:coreProperties>
</file>

<file path=docProps/custom.xml><?xml version="1.0" encoding="utf-8"?>
<Properties xmlns="http://schemas.openxmlformats.org/officeDocument/2006/custom-properties" xmlns:vt="http://schemas.openxmlformats.org/officeDocument/2006/docPropsVTypes"/>
</file>