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Avijit Chowdhury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Chowdhuryavijit333@gmail.com</w:t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 to Quest. NO: 1&amp;2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  <w:t xml:space="preserve">Roll VARCHAR(5) PRIMARY KEY,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Name VARCHAR(15) NOT NULL,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Email VARCHAR(30) UNIQUE,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    Address VARCHAR(20) NOT NULL,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   Age INT CHECK(Age&lt;15)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CREATE TABLE Library(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BookName VARCHAR(30) PRIMARY KEY,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WHohiredroll CHAR(5),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    FOREIGN KEY (WHohiredroll) REFERENCES student(Roll)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CREATE TABLE fees(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AmountPaid CHAR(10) PRIMARY KEY,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    PaidAmountRoll VARCHAR(30) NOT NULL,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FOREIGN KEY (PaidAmountRoll) REFERENCES student(Roll)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Answer to the Quest. No:3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Unorganized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Meaningless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2) Has meanings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Lacks 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3) Has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Used in multipurpose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4) Used in meaningful purposes</w:t>
            </w:r>
          </w:p>
        </w:tc>
      </w:tr>
    </w:tbl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Answer to the Quest. No:4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That error occurred because of sql_safe update settings.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Updating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Student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Name='Avijit Chowdhury'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Roll='1001';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SQL_SAFE_UPDATES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delete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DELETE FROM Student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Roll = '1001';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SQL_SAFE_UPDATES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Ans. to the Quest. No: 5</w:t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SELECT DISTINCT Department FROM Employee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Ans. to the Quest.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SELECT LastName FROM Employee ORDER BY Age DESC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Ans. to the Quest.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SELECT LastName FROM Employee WHERE Age &gt; 30 AND Department=’Marketing’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Ans. to the Quest. No: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Ans. to the Quest.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 SELECT * FROM Employee WHERE Name LIKE %son%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Ans. to the Quest.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SELECT * FROM Employee WHERE Department= ‘Engineering’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