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364"/>
          <w:sz w:val="38"/>
        </w:rPr>
        <w:t>Inventory Corridor Health Check Monitoring &amp; Stock-Out Signal Capturing</w:t>
      </w:r>
    </w:p>
    <w:p>
      <w:pPr>
        <w:spacing w:after="200"/>
        <w:pBdr>
          <w:bottom w:val="single" w:sz="6" w:color="C6CEDA"/>
        </w:pBdr>
      </w:pPr>
      <w:r>
        <w:rPr>
          <w:b/>
          <w:color w:val="005AD2"/>
          <w:sz w:val="22"/>
        </w:rPr>
        <w:t>Two-Page Project Report  |  Problem Statement 5  |  Novo Nordisk GBS Hackathon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5AD2"/>
          </w:tcPr>
          <w:p>
            <w:r/>
            <w:r>
              <w:rPr>
                <w:b/>
                <w:color w:val="FFFFFF"/>
                <w:sz w:val="18"/>
              </w:rPr>
              <w:t>Team</w:t>
            </w:r>
          </w:p>
        </w:tc>
        <w:tc>
          <w:tcPr>
            <w:tcW w:type="dxa" w:w="3216"/>
            <w:shd w:val="clear" w:fill="005AD2"/>
          </w:tcPr>
          <w:p>
            <w:r/>
            <w:r>
              <w:rPr>
                <w:b/>
                <w:color w:val="FFFFFF"/>
                <w:sz w:val="18"/>
              </w:rPr>
              <w:t>Institution</w:t>
            </w:r>
          </w:p>
        </w:tc>
        <w:tc>
          <w:tcPr>
            <w:tcW w:type="dxa" w:w="3216"/>
            <w:shd w:val="clear" w:fill="005AD2"/>
          </w:tcPr>
          <w:p>
            <w:r/>
            <w:r>
              <w:rPr>
                <w:b/>
                <w:color w:val="FFFFFF"/>
                <w:sz w:val="18"/>
              </w:rPr>
              <w:t>Deliverable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Cipher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Amity University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Prototype · Presentation · Project Report</w:t>
            </w:r>
          </w:p>
        </w:tc>
      </w:tr>
    </w:tbl>
    <w:p>
      <w:pPr>
        <w:spacing w:before="280" w:after="100"/>
        <w:pBdr>
          <w:bottom w:val="single" w:sz="6" w:color="C6CEDA"/>
        </w:pBdr>
      </w:pPr>
      <w:r>
        <w:rPr>
          <w:b/>
          <w:color w:val="1F3364"/>
          <w:sz w:val="26"/>
        </w:rPr>
        <w:t>1.  Approach: From Inbox Noise to Strategic Signal</w:t>
      </w:r>
    </w:p>
    <w:p>
      <w:pPr>
        <w:spacing w:after="120"/>
      </w:pPr>
      <w:r>
        <w:rPr>
          <w:b w:val="0"/>
          <w:i w:val="0"/>
          <w:sz w:val="21"/>
        </w:rPr>
        <w:t>The supplied dataset contains 76,440 corridor-floor breach weeks against only 4,029 actual stock-out weeks — a naive alert precision of 5.2708%, or roughly 19 false alerts for every real event. Detection is therefore trivial; the engineering problem is prioritisation. Our approach replaces static threshold alerting with a deterministic, lead-time-aware decision pipeline that compresses the noise into a short ranked queue of actionable signals, explains each one, and proposes a mitigation for human approval.</w:t>
      </w:r>
    </w:p>
    <w:p>
      <w:pPr>
        <w:spacing w:after="120"/>
      </w:pPr>
      <w:r>
        <w:rPr>
          <w:b w:val="0"/>
          <w:i w:val="0"/>
          <w:sz w:val="21"/>
        </w:rPr>
        <w:t>We verified the file's internal arithmetic (inventory recursion, movement identity, days-on-hand formula) against 100% of 260,000 records before building on it, and we detected risk on the projected 52-week stock trajectory rather than current on-hand stock — the property that makes advance warning possible at all.</w:t>
      </w:r>
    </w:p>
    <w:p>
      <w:pPr>
        <w:spacing w:before="280" w:after="100"/>
        <w:pBdr>
          <w:bottom w:val="single" w:sz="6" w:color="C6CEDA"/>
        </w:pBdr>
      </w:pPr>
      <w:r>
        <w:rPr>
          <w:b/>
          <w:color w:val="1F3364"/>
          <w:sz w:val="26"/>
        </w:rPr>
        <w:t>2.  System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04"/>
            <w:shd w:val="clear" w:fill="1F3364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736"/>
            <w:shd w:val="clear" w:fill="1F3364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6552"/>
            <w:shd w:val="clear" w:fill="1F3364"/>
          </w:tcPr>
          <w:p>
            <w:r/>
            <w:r>
              <w:rPr>
                <w:b/>
                <w:color w:val="FFFFFF"/>
                <w:sz w:val="19"/>
              </w:rPr>
              <w:t>Function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Ingestion &amp; data-quality gate</w:t>
            </w:r>
          </w:p>
        </w:tc>
        <w:tc>
          <w:tcPr>
            <w:tcW w:type="dxa" w:w="6552"/>
          </w:tcPr>
          <w:p>
            <w:pPr>
              <w:spacing w:after="40"/>
            </w:pPr>
            <w:r/>
            <w:r>
              <w:rPr>
                <w:sz w:val="19"/>
              </w:rPr>
              <w:t>Validates the weekly extract; surfaces data issues explicitly instead of absorbing them.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Forward projection engine</w:t>
            </w:r>
          </w:p>
        </w:tc>
        <w:tc>
          <w:tcPr>
            <w:tcW w:type="dxa" w:w="6552"/>
          </w:tcPr>
          <w:p>
            <w:pPr>
              <w:spacing w:after="40"/>
            </w:pPr>
            <w:r/>
            <w:r>
              <w:rPr>
                <w:sz w:val="19"/>
              </w:rPr>
              <w:t>Rebuilds each series' 52-week stock trajectory using the verified recursion and timing convention.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Corridor &amp; signal engine</w:t>
            </w:r>
          </w:p>
        </w:tc>
        <w:tc>
          <w:tcPr>
            <w:tcW w:type="dxa" w:w="6552"/>
          </w:tcPr>
          <w:p>
            <w:pPr>
              <w:spacing w:after="40"/>
            </w:pPr>
            <w:r/>
            <w:r>
              <w:rPr>
                <w:sz w:val="19"/>
              </w:rPr>
              <w:t>Classifies breaches by type and severity with persistence gates (4wk overstock / 5wk understock, user-configurable) and de-duplication.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Diagnosis &amp; recommendation</w:t>
            </w:r>
          </w:p>
        </w:tc>
        <w:tc>
          <w:tcPr>
            <w:tcW w:type="dxa" w:w="6552"/>
          </w:tcPr>
          <w:p>
            <w:pPr>
              <w:spacing w:after="40"/>
            </w:pPr>
            <w:r/>
            <w:r>
              <w:rPr>
                <w:sz w:val="19"/>
              </w:rPr>
              <w:t>Root-cause attribution (demand vs supply vs master data), exact recommended order quantity at the lead-time boundary.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Delivery layer</w:t>
            </w:r>
          </w:p>
        </w:tc>
        <w:tc>
          <w:tcPr>
            <w:tcW w:type="dxa" w:w="6552"/>
          </w:tcPr>
          <w:p>
            <w:pPr>
              <w:spacing w:after="40"/>
            </w:pPr>
            <w:r/>
            <w:r>
              <w:rPr>
                <w:sz w:val="19"/>
              </w:rPr>
              <w:t>Planner console, ranked top-15 exception queue, data-driven email digest, Monday briefing pack and management deck.</w:t>
            </w:r>
          </w:p>
        </w:tc>
      </w:tr>
    </w:tbl>
    <w:p>
      <w:pPr>
        <w:spacing w:before="280" w:after="100"/>
        <w:pBdr>
          <w:bottom w:val="single" w:sz="6" w:color="C6CEDA"/>
        </w:pBdr>
      </w:pPr>
      <w:r>
        <w:rPr>
          <w:b/>
          <w:color w:val="1F3364"/>
          <w:sz w:val="26"/>
        </w:rPr>
        <w:t>3.  Technology</w:t>
      </w:r>
    </w:p>
    <w:p>
      <w:pPr>
        <w:pStyle w:val="ListBullet"/>
        <w:spacing w:after="60"/>
        <w:ind w:left="403"/>
      </w:pPr>
      <w:r>
        <w:rPr>
          <w:sz w:val="21"/>
        </w:rPr>
        <w:t>Python (pandas / NumPy) deterministic engine — no stochastic components, identical inputs produce identical outputs.</w:t>
      </w:r>
    </w:p>
    <w:p>
      <w:pPr>
        <w:pStyle w:val="ListBullet"/>
        <w:spacing w:after="60"/>
        <w:ind w:left="403"/>
      </w:pPr>
      <w:r>
        <w:rPr>
          <w:sz w:val="21"/>
        </w:rPr>
        <w:t>Flask local service serving a single-page planner console (vanilla JS, Chart.js vendored offline — no network dependency on stage).</w:t>
      </w:r>
    </w:p>
    <w:p>
      <w:pPr>
        <w:pStyle w:val="ListBullet"/>
        <w:spacing w:after="60"/>
        <w:ind w:left="403"/>
      </w:pPr>
      <w:r>
        <w:rPr>
          <w:sz w:val="21"/>
        </w:rPr>
        <w:t>Source-agnostic input contract: the tool runs from the weekly Excel extract; any judge-provided workbook is reprocessed end-to-end live.</w:t>
      </w:r>
    </w:p>
    <w:p>
      <w:pPr>
        <w:pStyle w:val="ListBullet"/>
        <w:spacing w:after="60"/>
        <w:ind w:left="403"/>
      </w:pPr>
      <w:r>
        <w:rPr>
          <w:sz w:val="21"/>
        </w:rPr>
        <w:t>GxP-style audit ledger: every approval, override and snooze is reason-coded and persists across reloads and restarts (21 CFR Part 11 awareness).</w:t>
      </w:r>
    </w:p>
    <w:p>
      <w:pPr>
        <w:pStyle w:val="ListBullet"/>
        <w:spacing w:after="60"/>
        <w:ind w:left="403"/>
      </w:pPr>
      <w:r>
        <w:rPr>
          <w:sz w:val="21"/>
        </w:rPr>
        <w:t>Test wall: 37 backend unit tests, 74 structural spec checks, 28 frontend property tests, 10 integration tests, 9 drawer acceptance checks, budget ratchets and a data-verification script — all green.</w:t>
      </w:r>
    </w:p>
    <w:p>
      <w:pPr>
        <w:spacing w:before="280" w:after="100"/>
        <w:pBdr>
          <w:bottom w:val="single" w:sz="6" w:color="C6CEDA"/>
        </w:pBdr>
      </w:pPr>
      <w:r>
        <w:rPr>
          <w:b/>
          <w:color w:val="1F3364"/>
          <w:sz w:val="26"/>
        </w:rPr>
        <w:t>4.  Measured Results (benchmark dataset, engine-computed)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232"/>
            <w:shd w:val="clear" w:fill="1F3364"/>
          </w:tcPr>
          <w:p>
            <w:r/>
            <w:r>
              <w:rPr>
                <w:b/>
                <w:color w:val="FFFFFF"/>
                <w:sz w:val="19"/>
              </w:rPr>
              <w:t>Measure</w:t>
            </w:r>
          </w:p>
        </w:tc>
        <w:tc>
          <w:tcPr>
            <w:tcW w:type="dxa" w:w="2664"/>
            <w:shd w:val="clear" w:fill="1F3364"/>
          </w:tcPr>
          <w:p>
            <w:r/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4896"/>
            <w:shd w:val="clear" w:fill="1F3364"/>
          </w:tcPr>
          <w:p>
            <w:r/>
            <w:r>
              <w:rPr>
                <w:b/>
                <w:color w:val="FFFFFF"/>
                <w:sz w:val="19"/>
              </w:rPr>
              <w:t>Basis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sz w:val="19"/>
              </w:rPr>
              <w:t>Naive alerting noise</w:t>
            </w:r>
          </w:p>
        </w:tc>
        <w:tc>
          <w:tcPr>
            <w:tcW w:type="dxa" w:w="2664"/>
          </w:tcPr>
          <w:p>
            <w:pPr>
              <w:spacing w:after="40"/>
            </w:pPr>
            <w:r/>
            <w:r>
              <w:rPr>
                <w:sz w:val="19"/>
              </w:rPr>
              <w:t>76,440 alerts → 19 per real event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Raw corridor-floor threshold rule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sz w:val="19"/>
              </w:rPr>
              <w:t>Delivered queue</w:t>
            </w:r>
          </w:p>
        </w:tc>
        <w:tc>
          <w:tcPr>
            <w:tcW w:type="dxa" w:w="2664"/>
          </w:tcPr>
          <w:p>
            <w:pPr>
              <w:spacing w:after="40"/>
            </w:pPr>
            <w:r/>
            <w:r>
              <w:rPr>
                <w:sz w:val="19"/>
              </w:rPr>
              <w:t>15 ranked signals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215,280 operational SKU-weeks evaluated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sz w:val="19"/>
              </w:rPr>
              <w:t>Early-warning capture</w:t>
            </w:r>
          </w:p>
        </w:tc>
        <w:tc>
          <w:tcPr>
            <w:tcW w:type="dxa" w:w="2664"/>
          </w:tcPr>
          <w:p>
            <w:pPr>
              <w:spacing w:after="40"/>
            </w:pPr>
            <w:r/>
            <w:r>
              <w:rPr>
                <w:sz w:val="19"/>
              </w:rPr>
              <w:t>100.0% of stock-out series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578 of 578 series warned before their first stock-out week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sz w:val="19"/>
              </w:rPr>
              <w:t>Warning horizon</w:t>
            </w:r>
          </w:p>
        </w:tc>
        <w:tc>
          <w:tcPr>
            <w:tcW w:type="dxa" w:w="2664"/>
          </w:tcPr>
          <w:p>
            <w:pPr>
              <w:spacing w:after="40"/>
            </w:pPr>
            <w:r/>
            <w:r>
              <w:rPr>
                <w:sz w:val="19"/>
              </w:rPr>
              <w:t>median 22 weeks (p25: 12)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94.5% of events allow ≥2 weeks of response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sz w:val="19"/>
              </w:rPr>
              <w:t>Post-hoc detections</w:t>
            </w:r>
          </w:p>
        </w:tc>
        <w:tc>
          <w:tcPr>
            <w:tcW w:type="dxa" w:w="2664"/>
          </w:tcPr>
          <w:p>
            <w:pPr>
              <w:spacing w:after="40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Zero alerts raised after the fact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sz w:val="19"/>
              </w:rPr>
              <w:t>Queue hit-rate</w:t>
            </w:r>
          </w:p>
        </w:tc>
        <w:tc>
          <w:tcPr>
            <w:tcW w:type="dxa" w:w="2664"/>
          </w:tcPr>
          <w:p>
            <w:pPr>
              <w:spacing w:after="40"/>
            </w:pPr>
            <w:r/>
            <w:r>
              <w:rPr>
                <w:sz w:val="19"/>
              </w:rPr>
              <w:t>15.4% vs 11.56% random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Understock-side signals maturing to stock-out without intervention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sz w:val="19"/>
              </w:rPr>
              <w:t>Global CHI (our KPI)</w:t>
            </w:r>
          </w:p>
        </w:tc>
        <w:tc>
          <w:tcPr>
            <w:tcW w:type="dxa" w:w="2664"/>
          </w:tcPr>
          <w:p>
            <w:pPr>
              <w:spacing w:after="40"/>
            </w:pPr>
            <w:r/>
            <w:r>
              <w:rPr>
                <w:sz w:val="19"/>
              </w:rPr>
              <w:t>86.8 vs OTIF 98.5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sz w:val="19"/>
              </w:rPr>
              <w:t>Leading network-stress measure vs lagging contractual delivery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  <w:t>Statistical honesty is a design principle, not a caveat: the naive rule's 100% recall is an algebraic identity (a stock-out implies negative days-on-hand below any positive safety floor), so we report precision, capture and warning horizon instead — all computed from the input panel and shipped with their method notes attached.</w:t>
      </w:r>
    </w:p>
    <w:p>
      <w:pPr>
        <w:spacing w:before="280" w:after="100"/>
        <w:pBdr>
          <w:bottom w:val="single" w:sz="6" w:color="C6CEDA"/>
        </w:pBdr>
      </w:pPr>
      <w:r>
        <w:rPr>
          <w:b/>
          <w:color w:val="1F3364"/>
          <w:sz w:val="26"/>
        </w:rPr>
        <w:t>5.  Mentor Guidance — Delivered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0"/>
            <w:shd w:val="clear" w:fill="1F3364"/>
          </w:tcPr>
          <w:p>
            <w:r/>
            <w:r>
              <w:rPr>
                <w:b/>
                <w:color w:val="FFFFFF"/>
                <w:sz w:val="19"/>
              </w:rPr>
              <w:t>Mentor requirement</w:t>
            </w:r>
          </w:p>
        </w:tc>
        <w:tc>
          <w:tcPr>
            <w:tcW w:type="dxa" w:w="4752"/>
            <w:shd w:val="clear" w:fill="1F3364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  <w:t>Top 10–20 critical SKUs only</w:t>
            </w:r>
          </w:p>
        </w:tc>
        <w:tc>
          <w:tcPr>
            <w:tcW w:type="dxa" w:w="4752"/>
          </w:tcPr>
          <w:p>
            <w:pPr>
              <w:spacing w:after="40"/>
            </w:pPr>
            <w:r/>
            <w:r>
              <w:rPr>
                <w:sz w:val="19"/>
              </w:rPr>
              <w:t>Exactly 15, PRS-ranked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  <w:t>Email alerts with the week's top risks</w:t>
            </w:r>
          </w:p>
        </w:tc>
        <w:tc>
          <w:tcPr>
            <w:tcW w:type="dxa" w:w="4752"/>
          </w:tcPr>
          <w:p>
            <w:pPr>
              <w:spacing w:after="40"/>
            </w:pPr>
            <w:r/>
            <w:r>
              <w:rPr>
                <w:sz w:val="19"/>
              </w:rPr>
              <w:t>Data-driven digest, no hardcoded figures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  <w:t>Exact mitigation quantities</w:t>
            </w:r>
          </w:p>
        </w:tc>
        <w:tc>
          <w:tcPr>
            <w:tcW w:type="dxa" w:w="4752"/>
          </w:tcPr>
          <w:p>
            <w:pPr>
              <w:spacing w:after="40"/>
            </w:pPr>
            <w:r/>
            <w:r>
              <w:rPr>
                <w:sz w:val="19"/>
              </w:rPr>
              <w:t>Corridor midpoint − projected inventory, no MOQ rounding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  <w:t>14-day lead-time default, overridable</w:t>
            </w:r>
          </w:p>
        </w:tc>
        <w:tc>
          <w:tcPr>
            <w:tcW w:type="dxa" w:w="4752"/>
          </w:tcPr>
          <w:p>
            <w:pPr>
              <w:spacing w:after="40"/>
            </w:pPr>
            <w:r/>
            <w:r>
              <w:rPr>
                <w:sz w:val="19"/>
              </w:rPr>
              <w:t>Settings panel with per-market values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  <w:t>4wk overstock / 5wk understock gates</w:t>
            </w:r>
          </w:p>
        </w:tc>
        <w:tc>
          <w:tcPr>
            <w:tcW w:type="dxa" w:w="4752"/>
          </w:tcPr>
          <w:p>
            <w:pPr>
              <w:spacing w:after="40"/>
            </w:pPr>
            <w:r/>
            <w:r>
              <w:rPr>
                <w:sz w:val="19"/>
              </w:rPr>
              <w:t>Configurable alert-persistence parameters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  <w:t>Root-cause attribution</w:t>
            </w:r>
          </w:p>
        </w:tc>
        <w:tc>
          <w:tcPr>
            <w:tcW w:type="dxa" w:w="4752"/>
          </w:tcPr>
          <w:p>
            <w:pPr>
              <w:spacing w:after="40"/>
            </w:pPr>
            <w:r/>
            <w:r>
              <w:rPr>
                <w:sz w:val="19"/>
              </w:rPr>
              <w:t>Demand upside vs supply timing vs stale master data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  <w:t>Standalone, source-agnostic prototype</w:t>
            </w:r>
          </w:p>
        </w:tc>
        <w:tc>
          <w:tcPr>
            <w:tcW w:type="dxa" w:w="4752"/>
          </w:tcPr>
          <w:p>
            <w:pPr>
              <w:spacing w:after="40"/>
            </w:pPr>
            <w:r/>
            <w:r>
              <w:rPr>
                <w:sz w:val="19"/>
              </w:rPr>
              <w:t>Runs locally from any weekly Excel extract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  <w:t>Human-in-the-loop</w:t>
            </w:r>
          </w:p>
        </w:tc>
        <w:tc>
          <w:tcPr>
            <w:tcW w:type="dxa" w:w="4752"/>
          </w:tcPr>
          <w:p>
            <w:pPr>
              <w:spacing w:after="40"/>
            </w:pPr>
            <w:r/>
            <w:r>
              <w:rPr>
                <w:sz w:val="19"/>
              </w:rPr>
              <w:t>System recommends; planner decides; overrides logged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</w:r>
    </w:p>
    <w:p>
      <w:pPr>
        <w:spacing w:after="120"/>
      </w:pPr>
      <w:r>
        <w:rPr>
          <w:b w:val="0"/>
          <w:i/>
          <w:sz w:val="21"/>
        </w:rPr>
        <w:t>The prototype, presentation and this report complete the three deliverables agreed with the mentor. All figures in this document are regenerated from the engine's output payload; nothing is quoted by hand.</w:t>
      </w:r>
    </w:p>
    <w:p>
      <w:pPr>
        <w:pBdr>
          <w:bottom w:val="single" w:sz="6" w:color="C6CEDA"/>
        </w:pBdr>
      </w:pPr>
    </w:p>
    <w:p>
      <w:pPr>
        <w:jc w:val="center"/>
      </w:pPr>
      <w:r>
        <w:rPr>
          <w:color w:val="595959"/>
          <w:sz w:val="17"/>
        </w:rPr>
        <w:t>Prepared by Team Cipher  |  Amity University  |  Novo Nordisk GBS Hackathon 2026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