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364"/>
          <w:sz w:val="38"/>
        </w:rPr>
        <w:t>Inventory Corridor Health Check Monitoring &amp; Stock-Out Signal Capturing</w:t>
      </w:r>
    </w:p>
    <w:p>
      <w:pPr>
        <w:spacing w:after="200"/>
        <w:pBdr>
          <w:bottom w:val="single" w:sz="6" w:color="C6CEDA"/>
        </w:pBdr>
      </w:pPr>
      <w:r>
        <w:rPr>
          <w:b/>
          <w:color w:val="005AD2"/>
          <w:sz w:val="22"/>
        </w:rPr>
        <w:t>Solution Design Note &amp; Clarification Request  |  Problem Statement 5</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fill="005AD2"/>
          </w:tcPr>
          <w:p>
            <w:r/>
            <w:r>
              <w:rPr>
                <w:b/>
                <w:color w:val="FFFFFF"/>
                <w:sz w:val="18"/>
              </w:rPr>
              <w:t>Team</w:t>
            </w:r>
          </w:p>
        </w:tc>
        <w:tc>
          <w:tcPr>
            <w:tcW w:type="dxa" w:w="2412"/>
            <w:shd w:val="clear" w:fill="005AD2"/>
          </w:tcPr>
          <w:p>
            <w:r/>
            <w:r>
              <w:rPr>
                <w:b/>
                <w:color w:val="FFFFFF"/>
                <w:sz w:val="18"/>
              </w:rPr>
              <w:t>Institution</w:t>
            </w:r>
          </w:p>
        </w:tc>
        <w:tc>
          <w:tcPr>
            <w:tcW w:type="dxa" w:w="2412"/>
            <w:shd w:val="clear" w:fill="005AD2"/>
          </w:tcPr>
          <w:p>
            <w:r/>
            <w:r>
              <w:rPr>
                <w:b/>
                <w:color w:val="FFFFFF"/>
                <w:sz w:val="18"/>
              </w:rPr>
              <w:t>Team Lead</w:t>
            </w:r>
          </w:p>
        </w:tc>
        <w:tc>
          <w:tcPr>
            <w:tcW w:type="dxa" w:w="2412"/>
            <w:shd w:val="clear" w:fill="005AD2"/>
          </w:tcPr>
          <w:p>
            <w:r/>
            <w:r>
              <w:rPr>
                <w:b/>
                <w:color w:val="FFFFFF"/>
                <w:sz w:val="18"/>
              </w:rPr>
              <w:t>Members</w:t>
            </w:r>
          </w:p>
        </w:tc>
      </w:tr>
      <w:tr>
        <w:tc>
          <w:tcPr>
            <w:tcW w:type="dxa" w:w="2412"/>
          </w:tcPr>
          <w:p>
            <w:r/>
            <w:r>
              <w:rPr>
                <w:sz w:val="18"/>
              </w:rPr>
              <w:t>Cipher</w:t>
            </w:r>
          </w:p>
        </w:tc>
        <w:tc>
          <w:tcPr>
            <w:tcW w:type="dxa" w:w="2412"/>
          </w:tcPr>
          <w:p>
            <w:r/>
            <w:r>
              <w:rPr>
                <w:sz w:val="18"/>
              </w:rPr>
              <w:t>Amity University</w:t>
            </w:r>
          </w:p>
        </w:tc>
        <w:tc>
          <w:tcPr>
            <w:tcW w:type="dxa" w:w="2412"/>
          </w:tcPr>
          <w:p>
            <w:r/>
            <w:r>
              <w:rPr>
                <w:sz w:val="18"/>
              </w:rPr>
              <w:t>Chirag S</w:t>
            </w:r>
          </w:p>
        </w:tc>
        <w:tc>
          <w:tcPr>
            <w:tcW w:type="dxa" w:w="2412"/>
          </w:tcPr>
          <w:p>
            <w:r/>
            <w:r>
              <w:rPr>
                <w:sz w:val="18"/>
              </w:rPr>
              <w:t>Saloni Kumari, Avila Princy M, Kavya</w:t>
            </w:r>
          </w:p>
        </w:tc>
      </w:tr>
    </w:tbl>
    <w:p>
      <w:pPr>
        <w:spacing w:after="40"/>
      </w:pPr>
      <w:r>
        <w:rPr>
          <w:b w:val="0"/>
          <w:i w:val="0"/>
          <w:sz w:val="21"/>
        </w:rPr>
      </w:r>
    </w:p>
    <w:p>
      <w:pPr>
        <w:spacing w:after="120"/>
      </w:pPr>
      <w:r>
        <w:rPr>
          <w:b/>
          <w:sz w:val="21"/>
        </w:rPr>
        <w:t xml:space="preserve">Document purpose:  </w:t>
      </w:r>
      <w:r>
        <w:rPr>
          <w:b w:val="0"/>
          <w:sz w:val="21"/>
        </w:rPr>
        <w:t>This note summarises the design work completed to date, states the assumptions we intend to build against, and consolidates our open questions so they can be reviewed in one pass. Sections 5 and 6 are the items requiring your input. Questions specific to the dataset are held separately in the accompanying findings note, so that nothing is asked twice.</w:t>
      </w:r>
    </w:p>
    <w:p>
      <w:pPr>
        <w:spacing w:before="280" w:after="100"/>
        <w:pBdr>
          <w:bottom w:val="single" w:sz="6" w:color="C6CEDA"/>
        </w:pBdr>
      </w:pPr>
      <w:r>
        <w:rPr>
          <w:b/>
          <w:color w:val="1F3364"/>
          <w:sz w:val="26"/>
        </w:rPr>
        <w:t>1.  Problem Understanding</w:t>
      </w:r>
    </w:p>
    <w:p>
      <w:pPr>
        <w:spacing w:after="120"/>
      </w:pPr>
      <w:r>
        <w:rPr>
          <w:b w:val="0"/>
          <w:i w:val="0"/>
          <w:sz w:val="21"/>
        </w:rPr>
        <w:t>Following the mentoring session, our understanding of the business problem is as follows. We have restated it here so that any misinterpretation on our side can be corrected early.</w:t>
      </w:r>
    </w:p>
    <w:p>
      <w:pPr>
        <w:pStyle w:val="ListBullet"/>
        <w:spacing w:after="60"/>
        <w:ind w:left="403"/>
      </w:pPr>
      <w:r>
        <w:rPr>
          <w:b/>
          <w:sz w:val="21"/>
        </w:rPr>
        <w:t xml:space="preserve">Market shift — </w:t>
      </w:r>
      <w:r>
        <w:rPr>
          <w:sz w:val="21"/>
        </w:rPr>
        <w:t>the objective is no longer simply to avoid stock-outs, but to hold inventory precisely within an agreed corridor. Competition and patent expiry have made the market demand-driven, so both under-stocking and over-stocking now carry material cost.</w:t>
      </w:r>
    </w:p>
    <w:p>
      <w:pPr>
        <w:pStyle w:val="ListBullet"/>
        <w:spacing w:after="60"/>
        <w:ind w:left="403"/>
      </w:pPr>
      <w:r>
        <w:rPr>
          <w:b/>
          <w:sz w:val="21"/>
        </w:rPr>
        <w:t xml:space="preserve">Cost of a stock-out — </w:t>
      </w:r>
      <w:r>
        <w:rPr>
          <w:sz w:val="21"/>
        </w:rPr>
        <w:t>because patients are effectively lifelong subscribers and prescription changes require physician involvement, a stock-out risks permanent patient loss rather than a deferred sale.</w:t>
      </w:r>
    </w:p>
    <w:p>
      <w:pPr>
        <w:pStyle w:val="ListBullet"/>
        <w:spacing w:after="60"/>
        <w:ind w:left="403"/>
      </w:pPr>
      <w:r>
        <w:rPr>
          <w:b/>
          <w:sz w:val="21"/>
        </w:rPr>
        <w:t xml:space="preserve">Regulatory exposure — </w:t>
      </w:r>
      <w:r>
        <w:rPr>
          <w:sz w:val="21"/>
        </w:rPr>
        <w:t>in certain markets, repeated supply failure can jeopardise the legal right to sell. This makes service reliability a licence-to-operate issue, not only a commercial one.</w:t>
      </w:r>
    </w:p>
    <w:p>
      <w:pPr>
        <w:pStyle w:val="ListBullet"/>
        <w:spacing w:after="60"/>
        <w:ind w:left="403"/>
      </w:pPr>
      <w:r>
        <w:rPr>
          <w:b/>
          <w:sz w:val="21"/>
        </w:rPr>
        <w:t xml:space="preserve">Cost of over-stocking — </w:t>
      </w:r>
      <w:r>
        <w:rPr>
          <w:sz w:val="21"/>
        </w:rPr>
        <w:t>high-value injectables carry expiry dates, so overstocking converts directly into scrap, warehousing cost and frozen working capital.</w:t>
      </w:r>
    </w:p>
    <w:p>
      <w:pPr>
        <w:pStyle w:val="ListBullet"/>
        <w:spacing w:after="60"/>
        <w:ind w:left="403"/>
      </w:pPr>
      <w:r>
        <w:rPr>
          <w:b/>
          <w:sz w:val="21"/>
        </w:rPr>
        <w:t xml:space="preserve">Why early signals matter — </w:t>
      </w:r>
      <w:r>
        <w:rPr>
          <w:sz w:val="21"/>
        </w:rPr>
        <w:t>with sea freight lead times of eight to nine months to some markets, a signal detected at the point of breach is already too late to act on. Detection must therefore be predictive and lead-time aware.</w:t>
      </w:r>
    </w:p>
    <w:p>
      <w:pPr>
        <w:spacing w:after="120"/>
      </w:pPr>
      <w:r>
        <w:rPr>
          <w:b w:val="0"/>
          <w:i/>
          <w:sz w:val="21"/>
        </w:rPr>
        <w:t>The current process requires planners to manually interrogate multiple dashboards to identify risks months ahead. The opportunity, as we read it, is not another dashboard but a synthesis and notification layer that surfaces the exceptions worth acting on, explains them, and proposes a mitigation.</w:t>
      </w:r>
    </w:p>
    <w:p>
      <w:pPr>
        <w:spacing w:before="280" w:after="100"/>
        <w:pBdr>
          <w:bottom w:val="single" w:sz="6" w:color="C6CEDA"/>
        </w:pBdr>
      </w:pPr>
      <w:r>
        <w:rPr>
          <w:b/>
          <w:color w:val="1F3364"/>
          <w:sz w:val="26"/>
        </w:rPr>
        <w:t>2.  What the Dataset Has Already Settled</w:t>
      </w:r>
    </w:p>
    <w:p>
      <w:pPr>
        <w:spacing w:after="120"/>
      </w:pPr>
      <w:r>
        <w:rPr>
          <w:b w:val="0"/>
          <w:i w:val="0"/>
          <w:sz w:val="21"/>
        </w:rPr>
        <w:t>Having now analysed the weekly corridor extract, several points we had intended to ask about are answered by the file itself. We record them here so that our questions cover only what genuinely remains open. The full analysis, with figures, is in the accompanying findings note.</w:t>
      </w:r>
    </w:p>
    <w:tbl>
      <w:tblPr>
        <w:tblStyle w:val="TableGrid"/>
        <w:tblW w:type="auto" w:w="0"/>
        <w:jc w:val="center"/>
        <w:tblLook w:firstColumn="1" w:firstRow="1" w:lastColumn="0" w:lastRow="0" w:noHBand="0" w:noVBand="1" w:val="04A0"/>
      </w:tblPr>
      <w:tblGrid>
        <w:gridCol w:w="4824"/>
        <w:gridCol w:w="4824"/>
      </w:tblGrid>
      <w:tr>
        <w:tc>
          <w:tcPr>
            <w:tcW w:type="dxa" w:w="2160"/>
            <w:shd w:val="clear" w:fill="1F3364"/>
          </w:tcPr>
          <w:p>
            <w:r/>
            <w:r>
              <w:rPr>
                <w:b/>
                <w:color w:val="FFFFFF"/>
                <w:sz w:val="19"/>
              </w:rPr>
              <w:t>Point</w:t>
            </w:r>
          </w:p>
        </w:tc>
        <w:tc>
          <w:tcPr>
            <w:tcW w:type="dxa" w:w="7560"/>
            <w:shd w:val="clear" w:fill="1F3364"/>
          </w:tcPr>
          <w:p>
            <w:r/>
            <w:r>
              <w:rPr>
                <w:b/>
                <w:color w:val="FFFFFF"/>
                <w:sz w:val="19"/>
              </w:rPr>
              <w:t>Established from the data</w:t>
            </w:r>
          </w:p>
        </w:tc>
      </w:tr>
      <w:tr>
        <w:tc>
          <w:tcPr>
            <w:tcW w:type="dxa" w:w="2160"/>
          </w:tcPr>
          <w:p>
            <w:pPr>
              <w:spacing w:after="40"/>
            </w:pPr>
            <w:r/>
            <w:r>
              <w:rPr>
                <w:b/>
                <w:sz w:val="19"/>
              </w:rPr>
              <w:t>Granularity</w:t>
            </w:r>
          </w:p>
        </w:tc>
        <w:tc>
          <w:tcPr>
            <w:tcW w:type="dxa" w:w="7560"/>
          </w:tcPr>
          <w:p>
            <w:pPr>
              <w:spacing w:after="40"/>
            </w:pPr>
            <w:r/>
            <w:r>
              <w:rPr>
                <w:sz w:val="19"/>
              </w:rPr>
              <w:t>Region, brand, country, MRP method and product group — 5,000 series in total.</w:t>
            </w:r>
          </w:p>
        </w:tc>
      </w:tr>
      <w:tr>
        <w:tc>
          <w:tcPr>
            <w:tcW w:type="dxa" w:w="2160"/>
          </w:tcPr>
          <w:p>
            <w:pPr>
              <w:spacing w:after="40"/>
            </w:pPr>
            <w:r/>
            <w:r>
              <w:rPr>
                <w:b/>
                <w:sz w:val="19"/>
              </w:rPr>
              <w:t>Time buckets</w:t>
            </w:r>
          </w:p>
        </w:tc>
        <w:tc>
          <w:tcPr>
            <w:tcW w:type="dxa" w:w="7560"/>
          </w:tcPr>
          <w:p>
            <w:pPr>
              <w:spacing w:after="40"/>
            </w:pPr>
            <w:r/>
            <w:r>
              <w:rPr>
                <w:sz w:val="19"/>
              </w:rPr>
              <w:t>Weekly.</w:t>
            </w:r>
          </w:p>
        </w:tc>
      </w:tr>
      <w:tr>
        <w:tc>
          <w:tcPr>
            <w:tcW w:type="dxa" w:w="2160"/>
          </w:tcPr>
          <w:p>
            <w:pPr>
              <w:spacing w:after="40"/>
            </w:pPr>
            <w:r/>
            <w:r>
              <w:rPr>
                <w:b/>
                <w:sz w:val="19"/>
              </w:rPr>
              <w:t>Horizon</w:t>
            </w:r>
          </w:p>
        </w:tc>
        <w:tc>
          <w:tcPr>
            <w:tcW w:type="dxa" w:w="7560"/>
          </w:tcPr>
          <w:p>
            <w:pPr>
              <w:spacing w:after="40"/>
            </w:pPr>
            <w:r/>
            <w:r>
              <w:rPr>
                <w:sz w:val="19"/>
              </w:rPr>
              <w:t>52 weeks, forward-looking projected inventory rather than history.</w:t>
            </w:r>
          </w:p>
        </w:tc>
      </w:tr>
      <w:tr>
        <w:tc>
          <w:tcPr>
            <w:tcW w:type="dxa" w:w="2160"/>
          </w:tcPr>
          <w:p>
            <w:pPr>
              <w:spacing w:after="40"/>
            </w:pPr>
            <w:r/>
            <w:r>
              <w:rPr>
                <w:b/>
                <w:sz w:val="19"/>
              </w:rPr>
              <w:t>Corridor floor</w:t>
            </w:r>
          </w:p>
        </w:tc>
        <w:tc>
          <w:tcPr>
            <w:tcW w:type="dxa" w:w="7560"/>
          </w:tcPr>
          <w:p>
            <w:pPr>
              <w:spacing w:after="40"/>
            </w:pPr>
            <w:r/>
            <w:r>
              <w:rPr>
                <w:sz w:val="19"/>
              </w:rPr>
              <w:t>Expressed as safety stock days, supplied per series and week. It is not constant across the horizon in 4,060 of 5,000 series, so the floor itself moves.</w:t>
            </w:r>
          </w:p>
        </w:tc>
      </w:tr>
      <w:tr>
        <w:tc>
          <w:tcPr>
            <w:tcW w:type="dxa" w:w="2160"/>
          </w:tcPr>
          <w:p>
            <w:pPr>
              <w:spacing w:after="40"/>
            </w:pPr>
            <w:r/>
            <w:r>
              <w:rPr>
                <w:b/>
                <w:sz w:val="19"/>
              </w:rPr>
              <w:t>Cover measure</w:t>
            </w:r>
          </w:p>
        </w:tc>
        <w:tc>
          <w:tcPr>
            <w:tcW w:type="dxa" w:w="7560"/>
          </w:tcPr>
          <w:p>
            <w:pPr>
              <w:spacing w:after="40"/>
            </w:pPr>
            <w:r/>
            <w:r>
              <w:rPr>
                <w:sz w:val="19"/>
              </w:rPr>
              <w:t>Days on hand, calculated against the same week's demand.</w:t>
            </w:r>
          </w:p>
        </w:tc>
      </w:tr>
      <w:tr>
        <w:tc>
          <w:tcPr>
            <w:tcW w:type="dxa" w:w="2160"/>
          </w:tcPr>
          <w:p>
            <w:pPr>
              <w:spacing w:after="40"/>
            </w:pPr>
            <w:r/>
            <w:r>
              <w:rPr>
                <w:b/>
                <w:sz w:val="19"/>
              </w:rPr>
              <w:t>Supplied indicator</w:t>
            </w:r>
          </w:p>
        </w:tc>
        <w:tc>
          <w:tcPr>
            <w:tcW w:type="dxa" w:w="7560"/>
          </w:tcPr>
          <w:p>
            <w:pPr>
              <w:spacing w:after="40"/>
            </w:pPr>
            <w:r/>
            <w:r>
              <w:rPr>
                <w:sz w:val="19"/>
              </w:rPr>
              <w:t>A pre-computed stock-out flag, which we found to be reactive rather than predictive.</w:t>
            </w:r>
          </w:p>
        </w:tc>
      </w:tr>
    </w:tbl>
    <w:p>
      <w:pPr>
        <w:spacing w:after="80"/>
      </w:pPr>
      <w:r>
        <w:rPr>
          <w:b w:val="0"/>
          <w:i w:val="0"/>
          <w:sz w:val="21"/>
        </w:rPr>
      </w:r>
    </w:p>
    <w:tbl>
      <w:tblPr>
        <w:tblStyle w:val="TableGrid"/>
        <w:tblW w:type="auto" w:w="0"/>
        <w:tblLook w:firstColumn="1" w:firstRow="1" w:lastColumn="0" w:lastRow="0" w:noHBand="0" w:noVBand="1" w:val="04A0"/>
      </w:tblPr>
      <w:tblGrid>
        <w:gridCol w:w="9648"/>
      </w:tblGrid>
      <w:tr>
        <w:tc>
          <w:tcPr>
            <w:tcW w:type="dxa" w:w="9648"/>
            <w:shd w:val="clear" w:fill="EEF2F9"/>
          </w:tcPr>
          <w:p>
            <w:pPr>
              <w:spacing w:after="40"/>
            </w:pPr>
            <w:r/>
            <w:r>
              <w:rPr>
                <w:b/>
                <w:color w:val="1F3364"/>
                <w:sz w:val="20"/>
              </w:rPr>
              <w:t>The finding that most shaped our design.</w:t>
            </w:r>
          </w:p>
          <w:p>
            <w:pPr>
              <w:spacing w:after="40"/>
            </w:pPr>
            <w:r>
              <w:rPr>
                <w:sz w:val="20"/>
              </w:rPr>
              <w:t>The supplied stock-out indicator is exactly equivalent to a negative inventory balance, so it reports a shortage that has already happened. Meanwhile a simple corridor-floor breach flags 29% of all records against an actual stock-out rate of 1.55%, a precision of 5.27%, or roughly 19 alerts for every real event. Detection is therefore not the difficulty; separating the few situations that warrant action from the many that do not is where the value lies. This has become the organising principle of our build.</w:t>
            </w:r>
          </w:p>
        </w:tc>
      </w:tr>
    </w:tbl>
    <w:p>
      <w:pPr>
        <w:spacing w:after="80"/>
      </w:pPr>
      <w:r>
        <w:rPr>
          <w:b w:val="0"/>
          <w:i w:val="0"/>
          <w:sz w:val="21"/>
        </w:rPr>
      </w:r>
    </w:p>
    <w:p>
      <w:pPr>
        <w:spacing w:before="280" w:after="100"/>
        <w:pBdr>
          <w:bottom w:val="single" w:sz="6" w:color="C6CEDA"/>
        </w:pBdr>
      </w:pPr>
      <w:r>
        <w:rPr>
          <w:b/>
          <w:color w:val="1F3364"/>
          <w:sz w:val="26"/>
        </w:rPr>
        <w:t>3.  Scope Position</w:t>
      </w:r>
    </w:p>
    <w:p>
      <w:pPr>
        <w:spacing w:after="120"/>
      </w:pPr>
      <w:r>
        <w:rPr>
          <w:b w:val="0"/>
          <w:i w:val="0"/>
          <w:sz w:val="21"/>
        </w:rPr>
        <w:t>Based on your guidance, we have fixed the following scope boundaries:</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fill="1F3364"/>
          </w:tcPr>
          <w:p>
            <w:r/>
            <w:r>
              <w:rPr>
                <w:b/>
                <w:color w:val="FFFFFF"/>
                <w:sz w:val="19"/>
              </w:rPr>
              <w:t>Area</w:t>
            </w:r>
          </w:p>
        </w:tc>
        <w:tc>
          <w:tcPr>
            <w:tcW w:type="dxa" w:w="1656"/>
            <w:shd w:val="clear" w:fill="1F3364"/>
          </w:tcPr>
          <w:p>
            <w:r/>
            <w:r>
              <w:rPr>
                <w:b/>
                <w:color w:val="FFFFFF"/>
                <w:sz w:val="19"/>
              </w:rPr>
              <w:t>Position</w:t>
            </w:r>
          </w:p>
        </w:tc>
        <w:tc>
          <w:tcPr>
            <w:tcW w:type="dxa" w:w="5760"/>
            <w:shd w:val="clear" w:fill="1F3364"/>
          </w:tcPr>
          <w:p>
            <w:r/>
            <w:r>
              <w:rPr>
                <w:b/>
                <w:color w:val="FFFFFF"/>
                <w:sz w:val="19"/>
              </w:rPr>
              <w:t>Rationale</w:t>
            </w:r>
          </w:p>
        </w:tc>
      </w:tr>
      <w:tr>
        <w:tc>
          <w:tcPr>
            <w:tcW w:type="dxa" w:w="2304"/>
          </w:tcPr>
          <w:p>
            <w:pPr>
              <w:spacing w:after="40"/>
            </w:pPr>
            <w:r/>
            <w:r>
              <w:rPr>
                <w:sz w:val="19"/>
              </w:rPr>
              <w:t>Demand forecasting</w:t>
            </w:r>
          </w:p>
        </w:tc>
        <w:tc>
          <w:tcPr>
            <w:tcW w:type="dxa" w:w="1656"/>
          </w:tcPr>
          <w:p>
            <w:pPr>
              <w:spacing w:after="40"/>
            </w:pPr>
            <w:r/>
            <w:r>
              <w:rPr>
                <w:sz w:val="19"/>
              </w:rPr>
              <w:t>Out of scope</w:t>
            </w:r>
          </w:p>
        </w:tc>
        <w:tc>
          <w:tcPr>
            <w:tcW w:type="dxa" w:w="5760"/>
          </w:tcPr>
          <w:p>
            <w:pPr>
              <w:spacing w:after="40"/>
            </w:pPr>
            <w:r/>
            <w:r>
              <w:rPr>
                <w:sz w:val="19"/>
              </w:rPr>
              <w:t>Demand and forecast signals are pre-populated by the commercial organisation. We consume them as inputs rather than generating them.</w:t>
            </w:r>
          </w:p>
        </w:tc>
      </w:tr>
      <w:tr>
        <w:tc>
          <w:tcPr>
            <w:tcW w:type="dxa" w:w="2304"/>
          </w:tcPr>
          <w:p>
            <w:pPr>
              <w:spacing w:after="40"/>
            </w:pPr>
            <w:r/>
            <w:r>
              <w:rPr>
                <w:sz w:val="19"/>
              </w:rPr>
              <w:t>SAP / OMP integration</w:t>
            </w:r>
          </w:p>
        </w:tc>
        <w:tc>
          <w:tcPr>
            <w:tcW w:type="dxa" w:w="1656"/>
          </w:tcPr>
          <w:p>
            <w:pPr>
              <w:spacing w:after="40"/>
            </w:pPr>
            <w:r/>
            <w:r>
              <w:rPr>
                <w:sz w:val="19"/>
              </w:rPr>
              <w:t>Out of scope</w:t>
            </w:r>
          </w:p>
        </w:tc>
        <w:tc>
          <w:tcPr>
            <w:tcW w:type="dxa" w:w="5760"/>
          </w:tcPr>
          <w:p>
            <w:pPr>
              <w:spacing w:after="40"/>
            </w:pPr>
            <w:r/>
            <w:r>
              <w:rPr>
                <w:sz w:val="19"/>
              </w:rPr>
              <w:t>Delivered as a standalone prototype with a defined input contract, not a system integration.</w:t>
            </w:r>
          </w:p>
        </w:tc>
      </w:tr>
      <w:tr>
        <w:tc>
          <w:tcPr>
            <w:tcW w:type="dxa" w:w="2304"/>
          </w:tcPr>
          <w:p>
            <w:pPr>
              <w:spacing w:after="40"/>
            </w:pPr>
            <w:r/>
            <w:r>
              <w:rPr>
                <w:sz w:val="19"/>
              </w:rPr>
              <w:t>Data source coupling</w:t>
            </w:r>
          </w:p>
        </w:tc>
        <w:tc>
          <w:tcPr>
            <w:tcW w:type="dxa" w:w="1656"/>
          </w:tcPr>
          <w:p>
            <w:pPr>
              <w:spacing w:after="40"/>
            </w:pPr>
            <w:r/>
            <w:r>
              <w:rPr>
                <w:sz w:val="19"/>
              </w:rPr>
              <w:t>Deliberately avoided</w:t>
            </w:r>
          </w:p>
        </w:tc>
        <w:tc>
          <w:tcPr>
            <w:tcW w:type="dxa" w:w="5760"/>
          </w:tcPr>
          <w:p>
            <w:pPr>
              <w:spacing w:after="40"/>
            </w:pPr>
            <w:r/>
            <w:r>
              <w:rPr>
                <w:sz w:val="19"/>
              </w:rPr>
              <w:t>The tool is source-agnostic and runs from a spreadsheet input, so it is not dependent on any one platform.</w:t>
            </w:r>
          </w:p>
        </w:tc>
      </w:tr>
      <w:tr>
        <w:tc>
          <w:tcPr>
            <w:tcW w:type="dxa" w:w="2304"/>
          </w:tcPr>
          <w:p>
            <w:pPr>
              <w:spacing w:after="40"/>
            </w:pPr>
            <w:r/>
            <w:r>
              <w:rPr>
                <w:sz w:val="19"/>
              </w:rPr>
              <w:t>Corridor monitoring &amp; signal capture</w:t>
            </w:r>
          </w:p>
        </w:tc>
        <w:tc>
          <w:tcPr>
            <w:tcW w:type="dxa" w:w="1656"/>
          </w:tcPr>
          <w:p>
            <w:pPr>
              <w:spacing w:after="40"/>
            </w:pPr>
            <w:r/>
            <w:r>
              <w:rPr>
                <w:sz w:val="19"/>
              </w:rPr>
              <w:t>Core scope</w:t>
            </w:r>
          </w:p>
        </w:tc>
        <w:tc>
          <w:tcPr>
            <w:tcW w:type="dxa" w:w="5760"/>
          </w:tcPr>
          <w:p>
            <w:pPr>
              <w:spacing w:after="40"/>
            </w:pPr>
            <w:r/>
            <w:r>
              <w:rPr>
                <w:sz w:val="19"/>
              </w:rPr>
              <w:t>Breach detection on projected inventory, severity classification and automated notification.</w:t>
            </w:r>
          </w:p>
        </w:tc>
      </w:tr>
      <w:tr>
        <w:tc>
          <w:tcPr>
            <w:tcW w:type="dxa" w:w="2304"/>
          </w:tcPr>
          <w:p>
            <w:pPr>
              <w:spacing w:after="40"/>
            </w:pPr>
            <w:r/>
            <w:r>
              <w:rPr>
                <w:sz w:val="19"/>
              </w:rPr>
              <w:t>Diagnosis &amp; recommendation</w:t>
            </w:r>
          </w:p>
        </w:tc>
        <w:tc>
          <w:tcPr>
            <w:tcW w:type="dxa" w:w="1656"/>
          </w:tcPr>
          <w:p>
            <w:pPr>
              <w:spacing w:after="40"/>
            </w:pPr>
            <w:r/>
            <w:r>
              <w:rPr>
                <w:sz w:val="19"/>
              </w:rPr>
              <w:t>Core scope</w:t>
            </w:r>
          </w:p>
        </w:tc>
        <w:tc>
          <w:tcPr>
            <w:tcW w:type="dxa" w:w="5760"/>
          </w:tcPr>
          <w:p>
            <w:pPr>
              <w:spacing w:after="40"/>
            </w:pPr>
            <w:r/>
            <w:r>
              <w:rPr>
                <w:sz w:val="19"/>
              </w:rPr>
              <w:t>Root-cause attribution and a proposed mitigation action, subject to the constraints in Section 5.</w:t>
            </w:r>
          </w:p>
        </w:tc>
      </w:tr>
      <w:tr>
        <w:tc>
          <w:tcPr>
            <w:tcW w:type="dxa" w:w="2304"/>
          </w:tcPr>
          <w:p>
            <w:pPr>
              <w:spacing w:after="40"/>
            </w:pPr>
            <w:r/>
            <w:r>
              <w:rPr>
                <w:sz w:val="19"/>
              </w:rPr>
              <w:t>Management reporting</w:t>
            </w:r>
          </w:p>
        </w:tc>
        <w:tc>
          <w:tcPr>
            <w:tcW w:type="dxa" w:w="1656"/>
          </w:tcPr>
          <w:p>
            <w:pPr>
              <w:spacing w:after="40"/>
            </w:pPr>
            <w:r/>
            <w:r>
              <w:rPr>
                <w:sz w:val="19"/>
              </w:rPr>
              <w:t>Core scope</w:t>
            </w:r>
          </w:p>
        </w:tc>
        <w:tc>
          <w:tcPr>
            <w:tcW w:type="dxa" w:w="5760"/>
          </w:tcPr>
          <w:p>
            <w:pPr>
              <w:spacing w:after="40"/>
            </w:pPr>
            <w:r/>
            <w:r>
              <w:rPr>
                <w:sz w:val="19"/>
              </w:rPr>
              <w:t>A recurring summary of top service risks suitable for a weekly management review.</w:t>
            </w:r>
          </w:p>
        </w:tc>
      </w:tr>
    </w:tbl>
    <w:p>
      <w:pPr>
        <w:spacing w:before="280" w:after="100"/>
        <w:pBdr>
          <w:bottom w:val="single" w:sz="6" w:color="C6CEDA"/>
        </w:pBdr>
      </w:pPr>
      <w:r>
        <w:rPr>
          <w:b/>
          <w:color w:val="1F3364"/>
          <w:sz w:val="26"/>
        </w:rPr>
        <w:t>4.  Proposed Solution Architecture</w:t>
      </w:r>
    </w:p>
    <w:p>
      <w:pPr>
        <w:spacing w:after="120"/>
      </w:pPr>
      <w:r>
        <w:rPr>
          <w:b w:val="0"/>
          <w:i w:val="0"/>
          <w:sz w:val="21"/>
        </w:rPr>
        <w:t>We have designed the prototype as five sequential layers. Each layer is independently testable, and the boundaries are drawn so that a change in your data format affects only the first layer.</w:t>
      </w:r>
    </w:p>
    <w:tbl>
      <w:tblPr>
        <w:tblStyle w:val="TableGrid"/>
        <w:tblW w:type="auto" w:w="0"/>
        <w:jc w:val="center"/>
        <w:tblLook w:firstColumn="1" w:firstRow="1" w:lastColumn="0" w:lastRow="0" w:noHBand="0" w:noVBand="1" w:val="04A0"/>
      </w:tblPr>
      <w:tblGrid>
        <w:gridCol w:w="3216"/>
        <w:gridCol w:w="3216"/>
        <w:gridCol w:w="3216"/>
      </w:tblGrid>
      <w:tr>
        <w:tc>
          <w:tcPr>
            <w:tcW w:type="dxa" w:w="504"/>
            <w:shd w:val="clear" w:fill="1F3364"/>
          </w:tcPr>
          <w:p>
            <w:r/>
            <w:r>
              <w:rPr>
                <w:b/>
                <w:color w:val="FFFFFF"/>
                <w:sz w:val="19"/>
              </w:rPr>
              <w:t>#</w:t>
            </w:r>
          </w:p>
        </w:tc>
        <w:tc>
          <w:tcPr>
            <w:tcW w:type="dxa" w:w="2520"/>
            <w:shd w:val="clear" w:fill="1F3364"/>
          </w:tcPr>
          <w:p>
            <w:r/>
            <w:r>
              <w:rPr>
                <w:b/>
                <w:color w:val="FFFFFF"/>
                <w:sz w:val="19"/>
              </w:rPr>
              <w:t>Layer</w:t>
            </w:r>
          </w:p>
        </w:tc>
        <w:tc>
          <w:tcPr>
            <w:tcW w:type="dxa" w:w="6696"/>
            <w:shd w:val="clear" w:fill="1F3364"/>
          </w:tcPr>
          <w:p>
            <w:r/>
            <w:r>
              <w:rPr>
                <w:b/>
                <w:color w:val="FFFFFF"/>
                <w:sz w:val="19"/>
              </w:rPr>
              <w:t>Function</w:t>
            </w:r>
          </w:p>
        </w:tc>
      </w:tr>
      <w:tr>
        <w:tc>
          <w:tcPr>
            <w:tcW w:type="dxa" w:w="504"/>
          </w:tcPr>
          <w:p>
            <w:pPr>
              <w:spacing w:after="40"/>
            </w:pPr>
            <w:r/>
            <w:r>
              <w:rPr>
                <w:sz w:val="19"/>
              </w:rPr>
              <w:t>1</w:t>
            </w:r>
          </w:p>
        </w:tc>
        <w:tc>
          <w:tcPr>
            <w:tcW w:type="dxa" w:w="2520"/>
          </w:tcPr>
          <w:p>
            <w:pPr>
              <w:spacing w:after="40"/>
            </w:pPr>
            <w:r/>
            <w:r>
              <w:rPr>
                <w:sz w:val="19"/>
              </w:rPr>
              <w:t>Ingestion &amp; data quality gate</w:t>
            </w:r>
          </w:p>
        </w:tc>
        <w:tc>
          <w:tcPr>
            <w:tcW w:type="dxa" w:w="6696"/>
          </w:tcPr>
          <w:p>
            <w:pPr>
              <w:spacing w:after="40"/>
            </w:pPr>
            <w:r/>
            <w:r>
              <w:rPr>
                <w:sz w:val="19"/>
              </w:rPr>
              <w:t>Accepts the weekly extract, validates the header structure and reports data issues explicitly — missing periods, negative balances, sentinel values and unit mismatches. Data quality is surfaced rather than silently absorbed.</w:t>
            </w:r>
          </w:p>
        </w:tc>
      </w:tr>
      <w:tr>
        <w:tc>
          <w:tcPr>
            <w:tcW w:type="dxa" w:w="504"/>
          </w:tcPr>
          <w:p>
            <w:pPr>
              <w:spacing w:after="40"/>
            </w:pPr>
            <w:r/>
            <w:r>
              <w:rPr>
                <w:sz w:val="19"/>
              </w:rPr>
              <w:t>2</w:t>
            </w:r>
          </w:p>
        </w:tc>
        <w:tc>
          <w:tcPr>
            <w:tcW w:type="dxa" w:w="2520"/>
          </w:tcPr>
          <w:p>
            <w:pPr>
              <w:spacing w:after="40"/>
            </w:pPr>
            <w:r/>
            <w:r>
              <w:rPr>
                <w:sz w:val="19"/>
              </w:rPr>
              <w:t>Inventory projection engine</w:t>
            </w:r>
          </w:p>
        </w:tc>
        <w:tc>
          <w:tcPr>
            <w:tcW w:type="dxa" w:w="6696"/>
          </w:tcPr>
          <w:p>
            <w:pPr>
              <w:spacing w:after="40"/>
            </w:pPr>
            <w:r/>
            <w:r>
              <w:rPr>
                <w:sz w:val="19"/>
              </w:rPr>
              <w:t>Rebuilds the forward stock trajectory per series using the arithmetic we verified against the extract, so our figures reconcile with the source rather than approximating it.</w:t>
            </w:r>
          </w:p>
        </w:tc>
      </w:tr>
      <w:tr>
        <w:tc>
          <w:tcPr>
            <w:tcW w:type="dxa" w:w="504"/>
          </w:tcPr>
          <w:p>
            <w:pPr>
              <w:spacing w:after="40"/>
            </w:pPr>
            <w:r/>
            <w:r>
              <w:rPr>
                <w:sz w:val="19"/>
              </w:rPr>
              <w:t>3</w:t>
            </w:r>
          </w:p>
        </w:tc>
        <w:tc>
          <w:tcPr>
            <w:tcW w:type="dxa" w:w="2520"/>
          </w:tcPr>
          <w:p>
            <w:pPr>
              <w:spacing w:after="40"/>
            </w:pPr>
            <w:r/>
            <w:r>
              <w:rPr>
                <w:sz w:val="19"/>
              </w:rPr>
              <w:t>Corridor &amp; signal engine</w:t>
            </w:r>
          </w:p>
        </w:tc>
        <w:tc>
          <w:tcPr>
            <w:tcW w:type="dxa" w:w="6696"/>
          </w:tcPr>
          <w:p>
            <w:pPr>
              <w:spacing w:after="40"/>
            </w:pPr>
            <w:r/>
            <w:r>
              <w:rPr>
                <w:sz w:val="19"/>
              </w:rPr>
              <w:t>Compares the projected trajectory against the corridor to classify breaches by type and severity. Persistence and hysteresis rules prevent a metric oscillating at a threshold from generating repeat alerts, and standing breaches are separated from developing ones.</w:t>
            </w:r>
          </w:p>
        </w:tc>
      </w:tr>
      <w:tr>
        <w:tc>
          <w:tcPr>
            <w:tcW w:type="dxa" w:w="504"/>
          </w:tcPr>
          <w:p>
            <w:pPr>
              <w:spacing w:after="40"/>
            </w:pPr>
            <w:r/>
            <w:r>
              <w:rPr>
                <w:sz w:val="19"/>
              </w:rPr>
              <w:t>4</w:t>
            </w:r>
          </w:p>
        </w:tc>
        <w:tc>
          <w:tcPr>
            <w:tcW w:type="dxa" w:w="2520"/>
          </w:tcPr>
          <w:p>
            <w:pPr>
              <w:spacing w:after="40"/>
            </w:pPr>
            <w:r/>
            <w:r>
              <w:rPr>
                <w:sz w:val="19"/>
              </w:rPr>
              <w:t>Diagnosis &amp; recommendation layer</w:t>
            </w:r>
          </w:p>
        </w:tc>
        <w:tc>
          <w:tcPr>
            <w:tcW w:type="dxa" w:w="6696"/>
          </w:tcPr>
          <w:p>
            <w:pPr>
              <w:spacing w:after="40"/>
            </w:pPr>
            <w:r/>
            <w:r>
              <w:rPr>
                <w:sz w:val="19"/>
              </w:rPr>
              <w:t>Decomposes each breach into contributing causes, distinguishing demand deviation from supply timing, and proposes a mitigation with quantity and timing. Every recommendation is presented for human approval with its reasoning shown.</w:t>
            </w:r>
          </w:p>
        </w:tc>
      </w:tr>
      <w:tr>
        <w:tc>
          <w:tcPr>
            <w:tcW w:type="dxa" w:w="504"/>
          </w:tcPr>
          <w:p>
            <w:pPr>
              <w:spacing w:after="40"/>
            </w:pPr>
            <w:r/>
            <w:r>
              <w:rPr>
                <w:sz w:val="19"/>
              </w:rPr>
              <w:t>5</w:t>
            </w:r>
          </w:p>
        </w:tc>
        <w:tc>
          <w:tcPr>
            <w:tcW w:type="dxa" w:w="2520"/>
          </w:tcPr>
          <w:p>
            <w:pPr>
              <w:spacing w:after="40"/>
            </w:pPr>
            <w:r/>
            <w:r>
              <w:rPr>
                <w:sz w:val="19"/>
              </w:rPr>
              <w:t>Delivery layer</w:t>
            </w:r>
          </w:p>
        </w:tc>
        <w:tc>
          <w:tcPr>
            <w:tcW w:type="dxa" w:w="6696"/>
          </w:tcPr>
          <w:p>
            <w:pPr>
              <w:spacing w:after="40"/>
            </w:pPr>
            <w:r/>
            <w:r>
              <w:rPr>
                <w:sz w:val="19"/>
              </w:rPr>
              <w:t>A planner-facing view for investigation, automated alerts for exceptions, and an auto-generated management summary of top service risks.</w:t>
            </w:r>
          </w:p>
        </w:tc>
      </w:tr>
    </w:tbl>
    <w:p>
      <w:pPr>
        <w:spacing w:before="200" w:after="60"/>
      </w:pPr>
      <w:r>
        <w:rPr>
          <w:b/>
          <w:color w:val="005AD2"/>
          <w:sz w:val="22"/>
        </w:rPr>
        <w:t>Design principles we are holding to</w:t>
      </w:r>
    </w:p>
    <w:p>
      <w:pPr>
        <w:pStyle w:val="ListBullet"/>
        <w:spacing w:after="60"/>
        <w:ind w:left="403"/>
      </w:pPr>
      <w:r>
        <w:rPr>
          <w:b/>
          <w:sz w:val="21"/>
        </w:rPr>
        <w:t xml:space="preserve">Traceability — </w:t>
      </w:r>
      <w:r>
        <w:rPr>
          <w:sz w:val="21"/>
        </w:rPr>
        <w:t>every figure presented can be traced back to the input rows that produced it. We consider this non-negotiable for a decision-support tool in this domain.</w:t>
      </w:r>
    </w:p>
    <w:p>
      <w:pPr>
        <w:pStyle w:val="ListBullet"/>
        <w:spacing w:after="60"/>
        <w:ind w:left="403"/>
      </w:pPr>
      <w:r>
        <w:rPr>
          <w:b/>
          <w:sz w:val="21"/>
        </w:rPr>
        <w:t xml:space="preserve">Human in the loop — </w:t>
      </w:r>
      <w:r>
        <w:rPr>
          <w:sz w:val="21"/>
        </w:rPr>
        <w:t>the system recommends; the planner decides. Overrides are captured with a reason.</w:t>
      </w:r>
    </w:p>
    <w:p>
      <w:pPr>
        <w:pStyle w:val="ListBullet"/>
        <w:spacing w:after="60"/>
        <w:ind w:left="403"/>
      </w:pPr>
      <w:r>
        <w:rPr>
          <w:b/>
          <w:sz w:val="21"/>
        </w:rPr>
        <w:t xml:space="preserve">Alert credibility — </w:t>
      </w:r>
      <w:r>
        <w:rPr>
          <w:sz w:val="21"/>
        </w:rPr>
        <w:t>an alerting tool loses its users if it cries wolf. Given the precision figure above, severity tiering, persistence thresholds and de-duplication are treated as core features rather than refinements.</w:t>
      </w:r>
    </w:p>
    <w:p>
      <w:pPr>
        <w:pStyle w:val="ListBullet"/>
        <w:spacing w:after="60"/>
        <w:ind w:left="403"/>
      </w:pPr>
      <w:r>
        <w:rPr>
          <w:b/>
          <w:sz w:val="21"/>
        </w:rPr>
        <w:t xml:space="preserve">Honest limitations — </w:t>
      </w:r>
      <w:r>
        <w:rPr>
          <w:sz w:val="21"/>
        </w:rPr>
        <w:t>where a judgement depends on data we do not have, the tool states the assumption rather than presenting it as fact.</w:t>
      </w:r>
    </w:p>
    <w:p>
      <w:r>
        <w:br w:type="page"/>
      </w:r>
    </w:p>
    <w:p>
      <w:pPr>
        <w:spacing w:before="280" w:after="100"/>
        <w:pBdr>
          <w:bottom w:val="single" w:sz="6" w:color="C6CEDA"/>
        </w:pBdr>
      </w:pPr>
      <w:r>
        <w:rPr>
          <w:b/>
          <w:color w:val="1F3364"/>
          <w:sz w:val="26"/>
        </w:rPr>
        <w:t>5.  Working Assumptions for Confirmation</w:t>
      </w:r>
    </w:p>
    <w:p>
      <w:pPr>
        <w:spacing w:after="120"/>
      </w:pPr>
      <w:r>
        <w:rPr>
          <w:b w:val="0"/>
          <w:i/>
          <w:sz w:val="21"/>
        </w:rPr>
        <w:t>The following are the assumptions we intend to build against. They are written as statements rather than questions so that they can be confirmed or corrected quickly. Where an assumption is wrong, a one-line correction is sufficient. Any assumption left unamended will be treated as agreed.</w:t>
      </w:r>
    </w:p>
    <w:tbl>
      <w:tblPr>
        <w:tblStyle w:val="TableGrid"/>
        <w:tblW w:type="auto" w:w="0"/>
        <w:jc w:val="center"/>
        <w:tblLook w:firstColumn="1" w:firstRow="1" w:lastColumn="0" w:lastRow="0" w:noHBand="0" w:noVBand="1" w:val="04A0"/>
      </w:tblPr>
      <w:tblGrid>
        <w:gridCol w:w="3216"/>
        <w:gridCol w:w="3216"/>
        <w:gridCol w:w="3216"/>
      </w:tblGrid>
      <w:tr>
        <w:tc>
          <w:tcPr>
            <w:tcW w:type="dxa" w:w="504"/>
            <w:shd w:val="clear" w:fill="1F3364"/>
          </w:tcPr>
          <w:p>
            <w:r/>
            <w:r>
              <w:rPr>
                <w:b/>
                <w:color w:val="FFFFFF"/>
                <w:sz w:val="19"/>
              </w:rPr>
              <w:t>#</w:t>
            </w:r>
          </w:p>
        </w:tc>
        <w:tc>
          <w:tcPr>
            <w:tcW w:type="dxa" w:w="7416"/>
            <w:shd w:val="clear" w:fill="1F3364"/>
          </w:tcPr>
          <w:p>
            <w:r/>
            <w:r>
              <w:rPr>
                <w:b/>
                <w:color w:val="FFFFFF"/>
                <w:sz w:val="19"/>
              </w:rPr>
              <w:t>Assumption</w:t>
            </w:r>
          </w:p>
        </w:tc>
        <w:tc>
          <w:tcPr>
            <w:tcW w:type="dxa" w:w="1800"/>
            <w:shd w:val="clear" w:fill="1F3364"/>
          </w:tcPr>
          <w:p>
            <w:r/>
            <w:r>
              <w:rPr>
                <w:b/>
                <w:color w:val="FFFFFF"/>
                <w:sz w:val="19"/>
              </w:rPr>
              <w:t>Confirm / Correct</w:t>
            </w:r>
          </w:p>
        </w:tc>
      </w:tr>
      <w:tr>
        <w:tc>
          <w:tcPr>
            <w:tcW w:type="dxa" w:w="504"/>
          </w:tcPr>
          <w:p>
            <w:pPr>
              <w:spacing w:after="40"/>
            </w:pPr>
            <w:r/>
            <w:r>
              <w:rPr>
                <w:sz w:val="19"/>
              </w:rPr>
              <w:t>A1</w:t>
            </w:r>
          </w:p>
        </w:tc>
        <w:tc>
          <w:tcPr>
            <w:tcW w:type="dxa" w:w="7416"/>
          </w:tcPr>
          <w:p>
            <w:pPr>
              <w:spacing w:after="40"/>
            </w:pPr>
            <w:r/>
            <w:r>
              <w:rPr>
                <w:sz w:val="19"/>
              </w:rPr>
              <w:t>Breaches are detected against the projected stock trajectory rather than current on-hand stock, since this is what makes advance warning possible.</w:t>
            </w:r>
          </w:p>
        </w:tc>
        <w:tc>
          <w:tcPr>
            <w:tcW w:type="dxa" w:w="1800"/>
          </w:tcPr>
          <w:p>
            <w:pPr>
              <w:spacing w:after="40"/>
            </w:pPr>
            <w:r/>
            <w:r>
              <w:rPr>
                <w:sz w:val="19"/>
              </w:rPr>
            </w:r>
          </w:p>
        </w:tc>
      </w:tr>
      <w:tr>
        <w:tc>
          <w:tcPr>
            <w:tcW w:type="dxa" w:w="504"/>
          </w:tcPr>
          <w:p>
            <w:pPr>
              <w:spacing w:after="40"/>
            </w:pPr>
            <w:r/>
            <w:r>
              <w:rPr>
                <w:sz w:val="19"/>
              </w:rPr>
              <w:t>A2</w:t>
            </w:r>
          </w:p>
        </w:tc>
        <w:tc>
          <w:tcPr>
            <w:tcW w:type="dxa" w:w="7416"/>
          </w:tcPr>
          <w:p>
            <w:pPr>
              <w:spacing w:after="40"/>
            </w:pPr>
            <w:r/>
            <w:r>
              <w:rPr>
                <w:sz w:val="19"/>
              </w:rPr>
              <w:t>The corridor floor is the supplied safety stock days figure, evaluated against the value applicable in each week rather than a single current policy figure.</w:t>
            </w:r>
          </w:p>
        </w:tc>
        <w:tc>
          <w:tcPr>
            <w:tcW w:type="dxa" w:w="1800"/>
          </w:tcPr>
          <w:p>
            <w:pPr>
              <w:spacing w:after="40"/>
            </w:pPr>
            <w:r/>
            <w:r>
              <w:rPr>
                <w:sz w:val="19"/>
              </w:rPr>
            </w:r>
          </w:p>
        </w:tc>
      </w:tr>
      <w:tr>
        <w:tc>
          <w:tcPr>
            <w:tcW w:type="dxa" w:w="504"/>
          </w:tcPr>
          <w:p>
            <w:pPr>
              <w:spacing w:after="40"/>
            </w:pPr>
            <w:r/>
            <w:r>
              <w:rPr>
                <w:sz w:val="19"/>
              </w:rPr>
              <w:t>A3</w:t>
            </w:r>
          </w:p>
        </w:tc>
        <w:tc>
          <w:tcPr>
            <w:tcW w:type="dxa" w:w="7416"/>
          </w:tcPr>
          <w:p>
            <w:pPr>
              <w:spacing w:after="40"/>
            </w:pPr>
            <w:r/>
            <w:r>
              <w:rPr>
                <w:sz w:val="19"/>
              </w:rPr>
              <w:t>In the absence of an upper bound in the data, we will treat a sustained position above a configurable maximum cover as the overstock trigger, defaulted to the four-week logic you described.</w:t>
            </w:r>
          </w:p>
        </w:tc>
        <w:tc>
          <w:tcPr>
            <w:tcW w:type="dxa" w:w="1800"/>
          </w:tcPr>
          <w:p>
            <w:pPr>
              <w:spacing w:after="40"/>
            </w:pPr>
            <w:r/>
            <w:r>
              <w:rPr>
                <w:sz w:val="19"/>
              </w:rPr>
            </w:r>
          </w:p>
        </w:tc>
      </w:tr>
      <w:tr>
        <w:tc>
          <w:tcPr>
            <w:tcW w:type="dxa" w:w="504"/>
          </w:tcPr>
          <w:p>
            <w:pPr>
              <w:spacing w:after="40"/>
            </w:pPr>
            <w:r/>
            <w:r>
              <w:rPr>
                <w:sz w:val="19"/>
              </w:rPr>
              <w:t>A4</w:t>
            </w:r>
          </w:p>
        </w:tc>
        <w:tc>
          <w:tcPr>
            <w:tcW w:type="dxa" w:w="7416"/>
          </w:tcPr>
          <w:p>
            <w:pPr>
              <w:spacing w:after="40"/>
            </w:pPr>
            <w:r/>
            <w:r>
              <w:rPr>
                <w:sz w:val="19"/>
              </w:rPr>
              <w:t>Alert timing is lead-time aware: the warning window varies by market, so long lead-time markets are flagged materially earlier.</w:t>
            </w:r>
          </w:p>
        </w:tc>
        <w:tc>
          <w:tcPr>
            <w:tcW w:type="dxa" w:w="1800"/>
          </w:tcPr>
          <w:p>
            <w:pPr>
              <w:spacing w:after="40"/>
            </w:pPr>
            <w:r/>
            <w:r>
              <w:rPr>
                <w:sz w:val="19"/>
              </w:rPr>
            </w:r>
          </w:p>
        </w:tc>
      </w:tr>
      <w:tr>
        <w:tc>
          <w:tcPr>
            <w:tcW w:type="dxa" w:w="504"/>
          </w:tcPr>
          <w:p>
            <w:pPr>
              <w:spacing w:after="40"/>
            </w:pPr>
            <w:r/>
            <w:r>
              <w:rPr>
                <w:sz w:val="19"/>
              </w:rPr>
              <w:t>A5</w:t>
            </w:r>
          </w:p>
        </w:tc>
        <w:tc>
          <w:tcPr>
            <w:tcW w:type="dxa" w:w="7416"/>
          </w:tcPr>
          <w:p>
            <w:pPr>
              <w:spacing w:after="40"/>
            </w:pPr>
            <w:r/>
            <w:r>
              <w:rPr>
                <w:sz w:val="19"/>
              </w:rPr>
              <w:t>Alerts are raised per episode rather than per week, so a continuing problem is not reported afresh each period.</w:t>
            </w:r>
          </w:p>
        </w:tc>
        <w:tc>
          <w:tcPr>
            <w:tcW w:type="dxa" w:w="1800"/>
          </w:tcPr>
          <w:p>
            <w:pPr>
              <w:spacing w:after="40"/>
            </w:pPr>
            <w:r/>
            <w:r>
              <w:rPr>
                <w:sz w:val="19"/>
              </w:rPr>
            </w:r>
          </w:p>
        </w:tc>
      </w:tr>
      <w:tr>
        <w:tc>
          <w:tcPr>
            <w:tcW w:type="dxa" w:w="504"/>
          </w:tcPr>
          <w:p>
            <w:pPr>
              <w:spacing w:after="40"/>
            </w:pPr>
            <w:r/>
            <w:r>
              <w:rPr>
                <w:sz w:val="19"/>
              </w:rPr>
              <w:t>A6</w:t>
            </w:r>
          </w:p>
        </w:tc>
        <w:tc>
          <w:tcPr>
            <w:tcW w:type="dxa" w:w="7416"/>
          </w:tcPr>
          <w:p>
            <w:pPr>
              <w:spacing w:after="40"/>
            </w:pPr>
            <w:r/>
            <w:r>
              <w:rPr>
                <w:sz w:val="19"/>
              </w:rPr>
              <w:t>Series that sit permanently below the floor are reported once as a parameter-review item, not as a recurring operational alert.</w:t>
            </w:r>
          </w:p>
        </w:tc>
        <w:tc>
          <w:tcPr>
            <w:tcW w:type="dxa" w:w="1800"/>
          </w:tcPr>
          <w:p>
            <w:pPr>
              <w:spacing w:after="40"/>
            </w:pPr>
            <w:r/>
            <w:r>
              <w:rPr>
                <w:sz w:val="19"/>
              </w:rPr>
            </w:r>
          </w:p>
        </w:tc>
      </w:tr>
      <w:tr>
        <w:tc>
          <w:tcPr>
            <w:tcW w:type="dxa" w:w="504"/>
          </w:tcPr>
          <w:p>
            <w:pPr>
              <w:spacing w:after="40"/>
            </w:pPr>
            <w:r/>
            <w:r>
              <w:rPr>
                <w:sz w:val="19"/>
              </w:rPr>
              <w:t>A7</w:t>
            </w:r>
          </w:p>
        </w:tc>
        <w:tc>
          <w:tcPr>
            <w:tcW w:type="dxa" w:w="7416"/>
          </w:tcPr>
          <w:p>
            <w:pPr>
              <w:spacing w:after="40"/>
            </w:pPr>
            <w:r/>
            <w:r>
              <w:rPr>
                <w:sz w:val="19"/>
              </w:rPr>
              <w:t>Alerts are prioritised rather than merely listed, using cover relative to the safety stock requirement, because the raw breach flag is too broad to act on directly.</w:t>
            </w:r>
          </w:p>
        </w:tc>
        <w:tc>
          <w:tcPr>
            <w:tcW w:type="dxa" w:w="1800"/>
          </w:tcPr>
          <w:p>
            <w:pPr>
              <w:spacing w:after="40"/>
            </w:pPr>
            <w:r/>
            <w:r>
              <w:rPr>
                <w:sz w:val="19"/>
              </w:rPr>
            </w:r>
          </w:p>
        </w:tc>
      </w:tr>
      <w:tr>
        <w:tc>
          <w:tcPr>
            <w:tcW w:type="dxa" w:w="504"/>
          </w:tcPr>
          <w:p>
            <w:pPr>
              <w:spacing w:after="40"/>
            </w:pPr>
            <w:r/>
            <w:r>
              <w:rPr>
                <w:sz w:val="19"/>
              </w:rPr>
              <w:t>A8</w:t>
            </w:r>
          </w:p>
        </w:tc>
        <w:tc>
          <w:tcPr>
            <w:tcW w:type="dxa" w:w="7416"/>
          </w:tcPr>
          <w:p>
            <w:pPr>
              <w:spacing w:after="40"/>
            </w:pPr>
            <w:r/>
            <w:r>
              <w:rPr>
                <w:sz w:val="19"/>
              </w:rPr>
              <w:t>Recommendations are advisory. Nothing is executed automatically, and planner overrides are logged.</w:t>
            </w:r>
          </w:p>
        </w:tc>
        <w:tc>
          <w:tcPr>
            <w:tcW w:type="dxa" w:w="1800"/>
          </w:tcPr>
          <w:p>
            <w:pPr>
              <w:spacing w:after="40"/>
            </w:pPr>
            <w:r/>
            <w:r>
              <w:rPr>
                <w:sz w:val="19"/>
              </w:rPr>
            </w:r>
          </w:p>
        </w:tc>
      </w:tr>
      <w:tr>
        <w:tc>
          <w:tcPr>
            <w:tcW w:type="dxa" w:w="504"/>
          </w:tcPr>
          <w:p>
            <w:pPr>
              <w:spacing w:after="40"/>
            </w:pPr>
            <w:r/>
            <w:r>
              <w:rPr>
                <w:sz w:val="19"/>
              </w:rPr>
              <w:t>A9</w:t>
            </w:r>
          </w:p>
        </w:tc>
        <w:tc>
          <w:tcPr>
            <w:tcW w:type="dxa" w:w="7416"/>
          </w:tcPr>
          <w:p>
            <w:pPr>
              <w:spacing w:after="40"/>
            </w:pPr>
            <w:r/>
            <w:r>
              <w:rPr>
                <w:sz w:val="19"/>
              </w:rPr>
              <w:t>Full explainability is required — no output is presented without its supporting calculation being inspectable.</w:t>
            </w:r>
          </w:p>
        </w:tc>
        <w:tc>
          <w:tcPr>
            <w:tcW w:type="dxa" w:w="1800"/>
          </w:tcPr>
          <w:p>
            <w:pPr>
              <w:spacing w:after="40"/>
            </w:pPr>
            <w:r/>
            <w:r>
              <w:rPr>
                <w:sz w:val="19"/>
              </w:rPr>
            </w:r>
          </w:p>
        </w:tc>
      </w:tr>
      <w:tr>
        <w:tc>
          <w:tcPr>
            <w:tcW w:type="dxa" w:w="504"/>
          </w:tcPr>
          <w:p>
            <w:pPr>
              <w:spacing w:after="40"/>
            </w:pPr>
            <w:r/>
            <w:r>
              <w:rPr>
                <w:sz w:val="19"/>
              </w:rPr>
              <w:t>A10</w:t>
            </w:r>
          </w:p>
        </w:tc>
        <w:tc>
          <w:tcPr>
            <w:tcW w:type="dxa" w:w="7416"/>
          </w:tcPr>
          <w:p>
            <w:pPr>
              <w:spacing w:after="40"/>
            </w:pPr>
            <w:r/>
            <w:r>
              <w:rPr>
                <w:sz w:val="19"/>
              </w:rPr>
              <w:t>Where lead time, order minimums and shelf life are unavailable, they are treated as planner-maintained parameters, with any recommendation depending on them clearly marked as provisional.</w:t>
            </w:r>
          </w:p>
        </w:tc>
        <w:tc>
          <w:tcPr>
            <w:tcW w:type="dxa" w:w="1800"/>
          </w:tcPr>
          <w:p>
            <w:pPr>
              <w:spacing w:after="40"/>
            </w:pPr>
            <w:r/>
            <w:r>
              <w:rPr>
                <w:sz w:val="19"/>
              </w:rPr>
            </w:r>
          </w:p>
        </w:tc>
      </w:tr>
    </w:tbl>
    <w:p>
      <w:pPr>
        <w:spacing w:before="280" w:after="100"/>
        <w:pBdr>
          <w:bottom w:val="single" w:sz="6" w:color="C6CEDA"/>
        </w:pBdr>
      </w:pPr>
      <w:r>
        <w:rPr>
          <w:b/>
          <w:color w:val="1F3364"/>
          <w:sz w:val="26"/>
        </w:rPr>
        <w:t>6.  Open Questions</w:t>
      </w:r>
    </w:p>
    <w:p>
      <w:pPr>
        <w:spacing w:after="120"/>
      </w:pPr>
      <w:r>
        <w:rPr>
          <w:b w:val="0"/>
          <w:i/>
          <w:sz w:val="21"/>
        </w:rPr>
        <w:t>These concern business process, policy and evaluation. Questions arising from the dataset itself — replenishment lead time, order constraints, shelf life, how total supply relates to the order pipeline, and safety stock varying across the horizon — are set out in Section 7 of the findings note and are not repeated here. Items marked priority most affect our build sequence.</w:t>
      </w:r>
    </w:p>
    <w:p>
      <w:pPr>
        <w:spacing w:before="200" w:after="60"/>
      </w:pPr>
      <w:r>
        <w:rPr>
          <w:b/>
          <w:color w:val="005AD2"/>
          <w:sz w:val="22"/>
        </w:rPr>
        <w:t>6.1  Corridor policy  [Priority]</w:t>
      </w:r>
    </w:p>
    <w:p>
      <w:pPr>
        <w:pStyle w:val="ListNumber"/>
        <w:spacing w:after="60"/>
        <w:ind w:left="403"/>
      </w:pPr>
      <w:r>
        <w:rPr>
          <w:sz w:val="21"/>
        </w:rPr>
        <w:t>Is the corridor band a fixed policy per market, or is it recalculated periodically from service-level targets and demand or lead-time variability? The extract gives us the resulting figure but not the basis for it.</w:t>
      </w:r>
    </w:p>
    <w:p>
      <w:pPr>
        <w:pStyle w:val="ListNumber"/>
        <w:spacing w:after="60"/>
        <w:ind w:left="403"/>
      </w:pPr>
      <w:r>
        <w:rPr>
          <w:sz w:val="21"/>
        </w:rPr>
        <w:t>Do corridor widths vary by market tier, product lifecycle stage, inventory classification or regulatory criticality — for example a tighter band where supply failure carries licence risk?</w:t>
      </w:r>
    </w:p>
    <w:p>
      <w:pPr>
        <w:pStyle w:val="ListNumber"/>
        <w:spacing w:after="60"/>
        <w:ind w:left="403"/>
      </w:pPr>
      <w:r>
        <w:rPr>
          <w:sz w:val="21"/>
        </w:rPr>
        <w:t>Is there an existing corridor health measure reported to management that we should reproduce exactly rather than defining our own, and at what level is it aggregated?</w:t>
      </w:r>
    </w:p>
    <w:p>
      <w:pPr>
        <w:pStyle w:val="ListNumber"/>
        <w:spacing w:after="60"/>
        <w:ind w:left="403"/>
      </w:pPr>
      <w:r>
        <w:rPr>
          <w:sz w:val="21"/>
        </w:rPr>
        <w:t>Where a series sits below its floor continuously without ever running out, would you treat that as a safety stock parameter to be reviewed rather than an operational risk? Our analysis suggests this pattern is common, and we have assumed the former.</w:t>
      </w:r>
    </w:p>
    <w:p>
      <w:pPr>
        <w:spacing w:before="200" w:after="60"/>
      </w:pPr>
      <w:r>
        <w:rPr>
          <w:b/>
          <w:color w:val="005AD2"/>
          <w:sz w:val="22"/>
        </w:rPr>
        <w:t>6.2  Signal capture and alerting  [Priority]</w:t>
      </w:r>
    </w:p>
    <w:p>
      <w:pPr>
        <w:pStyle w:val="ListNumber"/>
        <w:spacing w:after="60"/>
        <w:ind w:left="403"/>
      </w:pPr>
      <w:r>
        <w:rPr>
          <w:sz w:val="21"/>
        </w:rPr>
        <w:t>Beyond corridor breaches, which of the following should be treated as capturable stock-out signals: short-shipped or unfulfilled order lines, allocation events, supplier confirmation date slippage, quality release delays or batch rejection, transport and customs delay, insufficient remaining shelf life on receipt, labelling or artwork blocks, or abnormal ordering patterns from a market?</w:t>
      </w:r>
    </w:p>
    <w:p>
      <w:pPr>
        <w:pStyle w:val="ListNumber"/>
        <w:spacing w:after="60"/>
        <w:ind w:left="403"/>
      </w:pPr>
      <w:r>
        <w:rPr>
          <w:sz w:val="21"/>
        </w:rPr>
        <w:t>How long must a condition persist before it merits an alert, and how would you define the severity tiers? You mentioned a sustained overstock position of more than four weeks, and we would like to calibrate the remaining thresholds to the same logic.</w:t>
      </w:r>
    </w:p>
    <w:p>
      <w:pPr>
        <w:pStyle w:val="ListNumber"/>
        <w:spacing w:after="60"/>
        <w:ind w:left="403"/>
      </w:pPr>
      <w:r>
        <w:rPr>
          <w:sz w:val="21"/>
        </w:rPr>
        <w:t>Given that alerting on every breach would generate roughly 19 notifications for each real event, roughly how many exceptions per week would a planner regard as a reasonable workload? A target number would let us set the threshold against something real rather than arbitrary.</w:t>
      </w:r>
    </w:p>
    <w:p>
      <w:pPr>
        <w:pStyle w:val="ListNumber"/>
        <w:spacing w:after="60"/>
        <w:ind w:left="403"/>
      </w:pPr>
      <w:r>
        <w:rPr>
          <w:sz w:val="21"/>
        </w:rPr>
        <w:t>Would you rather the system over-alert and catch everything at the cost of noise, or alert only on high confidence and accept that a few situations surface late?</w:t>
      </w:r>
    </w:p>
    <w:p>
      <w:pPr>
        <w:pStyle w:val="ListNumber"/>
        <w:spacing w:after="60"/>
        <w:ind w:left="403"/>
      </w:pPr>
      <w:r>
        <w:rPr>
          <w:sz w:val="21"/>
        </w:rPr>
        <w:t>Should alerts carry a workflow — acknowledge, assign an owner, comment, snooze — and should unacknowledged critical items escalate? Should acknowledged items drop out of the management summary?</w:t>
      </w:r>
    </w:p>
    <w:p>
      <w:pPr>
        <w:pStyle w:val="ListNumber"/>
        <w:spacing w:after="60"/>
        <w:ind w:left="403"/>
      </w:pPr>
      <w:r>
        <w:rPr>
          <w:sz w:val="21"/>
        </w:rPr>
        <w:t>What is the preferred notification channel and cadence, and should different severity levels be delivered differently?</w:t>
      </w:r>
    </w:p>
    <w:p>
      <w:pPr>
        <w:spacing w:before="200" w:after="60"/>
      </w:pPr>
      <w:r>
        <w:rPr>
          <w:b/>
          <w:color w:val="005AD2"/>
          <w:sz w:val="22"/>
        </w:rPr>
        <w:t>6.3  Recommendation logic  [Priority]</w:t>
      </w:r>
    </w:p>
    <w:p>
      <w:pPr>
        <w:pStyle w:val="ListNumber"/>
        <w:spacing w:after="60"/>
        <w:ind w:left="403"/>
      </w:pPr>
      <w:r>
        <w:rPr>
          <w:sz w:val="21"/>
        </w:rPr>
        <w:t>Which mitigation levers are legitimate to propose: placing or increasing an order, expediting an existing one, deferring or cancelling in an overstock position, upgrading freight mode, transferring stock between markets, or formally accepting the risk?</w:t>
      </w:r>
    </w:p>
    <w:p>
      <w:pPr>
        <w:pStyle w:val="ListNumber"/>
        <w:spacing w:after="60"/>
        <w:ind w:left="403"/>
      </w:pPr>
      <w:r>
        <w:rPr>
          <w:sz w:val="21"/>
        </w:rPr>
        <w:t>Is inter-market stock transfer genuinely feasible given market-specific packaging, language and registration requirements? If not, we would rather exclude it than present an unrealistic option.</w:t>
      </w:r>
    </w:p>
    <w:p>
      <w:pPr>
        <w:pStyle w:val="ListNumber"/>
        <w:spacing w:after="60"/>
        <w:ind w:left="403"/>
      </w:pPr>
      <w:r>
        <w:rPr>
          <w:sz w:val="21"/>
        </w:rPr>
        <w:t>Where supply is constrained across markets, what should govern allocation priority — patient impact, regulatory exposure, contractual or tender commitments, or proportional fair share?</w:t>
      </w:r>
    </w:p>
    <w:p>
      <w:pPr>
        <w:pStyle w:val="ListNumber"/>
        <w:spacing w:after="60"/>
        <w:ind w:left="403"/>
      </w:pPr>
      <w:r>
        <w:rPr>
          <w:sz w:val="21"/>
        </w:rPr>
        <w:t>Should each alert carry a quantified impact, such as revenue at risk, scrap exposure or working capital tied up? If so, what cost basis may we use? We would also like to know whether expediting trade-offs, including freight cost and emissions, are worth surfacing.</w:t>
      </w:r>
    </w:p>
    <w:p>
      <w:pPr>
        <w:spacing w:before="200" w:after="60"/>
      </w:pPr>
      <w:r>
        <w:rPr>
          <w:b/>
          <w:color w:val="005AD2"/>
          <w:sz w:val="22"/>
        </w:rPr>
        <w:t>6.4  Root cause attribution</w:t>
      </w:r>
    </w:p>
    <w:p>
      <w:pPr>
        <w:pStyle w:val="ListNumber"/>
        <w:spacing w:after="60"/>
        <w:ind w:left="403"/>
      </w:pPr>
      <w:r>
        <w:rPr>
          <w:sz w:val="21"/>
        </w:rPr>
        <w:t>Does the following cause taxonomy align with how your team actually classifies breaches, and what is missing: demand upside or forecast bias, phasing shift, launch or tender event, production delay, quality release delay, batch failure, component or device shortage, transport or customs delay, regulatory or labelling change, late order placement, and incorrect planning master data?</w:t>
      </w:r>
    </w:p>
    <w:p>
      <w:pPr>
        <w:pStyle w:val="ListNumber"/>
        <w:spacing w:after="60"/>
        <w:ind w:left="403"/>
      </w:pPr>
      <w:r>
        <w:rPr>
          <w:sz w:val="21"/>
        </w:rPr>
        <w:t>Would quantified attribution be valuable — expressing a breach as predominantly demand-driven versus supply-driven with the split shown — or is a single categorical cause sufficient?</w:t>
      </w:r>
    </w:p>
    <w:p>
      <w:pPr>
        <w:pStyle w:val="ListNumber"/>
        <w:spacing w:after="60"/>
        <w:ind w:left="403"/>
      </w:pPr>
      <w:r>
        <w:rPr>
          <w:sz w:val="21"/>
        </w:rPr>
        <w:t>Should the tool audit planning parameters themselves, such as stale safety stock settings or outdated lead times? Our analysis of the extract suggests mis-parameterisation may account for a substantial share of apparent breaches, and we would value your view on whether that matches your experience.</w:t>
      </w:r>
    </w:p>
    <w:p>
      <w:pPr>
        <w:spacing w:before="200" w:after="60"/>
      </w:pPr>
      <w:r>
        <w:rPr>
          <w:b/>
          <w:color w:val="005AD2"/>
          <w:sz w:val="22"/>
        </w:rPr>
        <w:t>6.5  KPI definitions  [Priority]</w:t>
      </w:r>
    </w:p>
    <w:p>
      <w:pPr>
        <w:pStyle w:val="ListNumber"/>
        <w:spacing w:after="60"/>
        <w:ind w:left="403"/>
      </w:pPr>
      <w:r>
        <w:rPr>
          <w:sz w:val="21"/>
        </w:rPr>
        <w:t>For OTIF, we need your exact definition rather than a textbook one: which order flow it is measured on, whether on-time is assessed against the requested or the confirmed date, the tolerance window applied, whether in-full is judged at line or order level, and whether the measure is weighted.</w:t>
      </w:r>
    </w:p>
    <w:p>
      <w:pPr>
        <w:pStyle w:val="ListNumber"/>
        <w:spacing w:after="60"/>
        <w:ind w:left="403"/>
      </w:pPr>
      <w:r>
        <w:rPr>
          <w:sz w:val="21"/>
        </w:rPr>
        <w:t>Could you share your internal definitions and current targets for days on hand, corridor health, forecast accuracy and bias, scrap rate, expiry-risk stock, and any measure of lost sales? Matching your definitions matters more to us than choosing our own.</w:t>
      </w:r>
    </w:p>
    <w:p>
      <w:pPr>
        <w:pStyle w:val="ListNumber"/>
        <w:spacing w:after="60"/>
        <w:ind w:left="403"/>
      </w:pPr>
      <w:r>
        <w:rPr>
          <w:sz w:val="21"/>
        </w:rPr>
        <w:t>Which measures belong in the management summary, and which are better confined to the planner view?</w:t>
      </w:r>
    </w:p>
    <w:p>
      <w:pPr>
        <w:spacing w:before="200" w:after="60"/>
      </w:pPr>
      <w:r>
        <w:rPr>
          <w:b/>
          <w:color w:val="005AD2"/>
          <w:sz w:val="22"/>
        </w:rPr>
        <w:t>6.6  Users and current process  [Priority]</w:t>
      </w:r>
    </w:p>
    <w:p>
      <w:pPr>
        <w:pStyle w:val="ListNumber"/>
        <w:spacing w:after="60"/>
        <w:ind w:left="403"/>
      </w:pPr>
      <w:r>
        <w:rPr>
          <w:sz w:val="21"/>
        </w:rPr>
        <w:t>Who are the intended users, and what does each role need? We would like to design distinct views rather than one generic screen.</w:t>
      </w:r>
    </w:p>
    <w:p>
      <w:pPr>
        <w:pStyle w:val="ListNumber"/>
        <w:spacing w:after="60"/>
        <w:ind w:left="403"/>
      </w:pPr>
      <w:r>
        <w:rPr>
          <w:sz w:val="21"/>
        </w:rPr>
        <w:t>Could you describe what a planner does today when assessing supply risk — the sequence of systems and reports consulted, and roughly how much time it takes each week? This is the baseline against which we would quantify the value of the solution, and we would much rather cite your figure than estimate one.</w:t>
      </w:r>
    </w:p>
    <w:p>
      <w:pPr>
        <w:pStyle w:val="ListNumber"/>
        <w:spacing w:after="60"/>
        <w:ind w:left="403"/>
      </w:pPr>
      <w:r>
        <w:rPr>
          <w:sz w:val="21"/>
        </w:rPr>
        <w:t>Which existing review or meeting should the output feed, and should the management summary be formatted to drop directly into that forum?</w:t>
      </w:r>
    </w:p>
    <w:p>
      <w:pPr>
        <w:pStyle w:val="ListNumber"/>
        <w:spacing w:after="60"/>
        <w:ind w:left="403"/>
      </w:pPr>
      <w:r>
        <w:rPr>
          <w:sz w:val="21"/>
        </w:rPr>
        <w:t>Should users see only their own markets, with a consolidated view reserved for management?</w:t>
      </w:r>
    </w:p>
    <w:p>
      <w:pPr>
        <w:pStyle w:val="ListNumber"/>
        <w:spacing w:after="60"/>
        <w:ind w:left="403"/>
      </w:pPr>
      <w:r>
        <w:rPr>
          <w:sz w:val="21"/>
        </w:rPr>
        <w:t>In your experience, what causes a tool like this to be abandoned after the first few weeks? Knowing the failure mode in advance would be more useful to us than any feature request.</w:t>
      </w:r>
    </w:p>
    <w:p>
      <w:pPr>
        <w:spacing w:before="200" w:after="60"/>
      </w:pPr>
      <w:r>
        <w:rPr>
          <w:b/>
          <w:color w:val="005AD2"/>
          <w:sz w:val="22"/>
        </w:rPr>
        <w:t>6.7  Existing capability</w:t>
      </w:r>
    </w:p>
    <w:p>
      <w:pPr>
        <w:pStyle w:val="ListNumber"/>
        <w:spacing w:after="60"/>
        <w:ind w:left="403"/>
      </w:pPr>
      <w:r>
        <w:rPr>
          <w:sz w:val="21"/>
        </w:rPr>
        <w:t>What do your current planning systems already provide in terms of exception monitoring and corridor reporting, and what specifically is absent? We are keen to build the missing layer rather than reproduce existing functionality.</w:t>
      </w:r>
    </w:p>
    <w:p>
      <w:pPr>
        <w:pStyle w:val="ListNumber"/>
        <w:spacing w:after="60"/>
        <w:ind w:left="403"/>
      </w:pPr>
      <w:r>
        <w:rPr>
          <w:sz w:val="21"/>
        </w:rPr>
        <w:t>Are there existing reports or dashboards for this purpose? Even an indicative layout would help us align with what your planners already recognise.</w:t>
      </w:r>
    </w:p>
    <w:p>
      <w:pPr>
        <w:pStyle w:val="ListNumber"/>
        <w:spacing w:after="60"/>
        <w:ind w:left="403"/>
      </w:pPr>
      <w:r>
        <w:rPr>
          <w:sz w:val="21"/>
        </w:rPr>
        <w:t>What internal terminology should appear on screen, so the tool reads as native to your team?</w:t>
      </w:r>
    </w:p>
    <w:p>
      <w:pPr>
        <w:pStyle w:val="ListNumber"/>
        <w:spacing w:after="60"/>
        <w:ind w:left="403"/>
      </w:pPr>
      <w:r>
        <w:rPr>
          <w:sz w:val="21"/>
        </w:rPr>
        <w:t>If this were taken forward beyond the hackathon, what environment would it need to sit within? That would influence our technology choice now rather than later.</w:t>
      </w:r>
    </w:p>
    <w:p>
      <w:pPr>
        <w:spacing w:before="200" w:after="60"/>
      </w:pPr>
      <w:r>
        <w:rPr>
          <w:b/>
          <w:color w:val="005AD2"/>
          <w:sz w:val="22"/>
        </w:rPr>
        <w:t>6.8  Technology and compliance constraints  [Priority]</w:t>
      </w:r>
    </w:p>
    <w:p>
      <w:pPr>
        <w:pStyle w:val="ListNumber"/>
        <w:spacing w:after="60"/>
        <w:ind w:left="403"/>
      </w:pPr>
      <w:r>
        <w:rPr>
          <w:sz w:val="21"/>
        </w:rPr>
        <w:t>Are we permitted to use external cloud AI services in the prototype, even on synthetic data, or should everything run locally? This is a structural decision for us and we would prefer to resolve it before building.</w:t>
      </w:r>
    </w:p>
    <w:p>
      <w:pPr>
        <w:pStyle w:val="ListNumber"/>
        <w:spacing w:after="60"/>
        <w:ind w:left="403"/>
      </w:pPr>
      <w:r>
        <w:rPr>
          <w:sz w:val="21"/>
        </w:rPr>
        <w:t>Do you have a preference between a Microsoft-native implementation and a standalone application? Both are feasible for us; your preference decides it.</w:t>
      </w:r>
    </w:p>
    <w:p>
      <w:pPr>
        <w:pStyle w:val="ListNumber"/>
        <w:spacing w:after="60"/>
        <w:ind w:left="403"/>
      </w:pPr>
      <w:r>
        <w:rPr>
          <w:sz w:val="21"/>
        </w:rPr>
        <w:t>How much emphasis would you place on a conversational or agentic interface — the ability to ask why a given market is breaching — versus deterministic logic with a well-designed interface? We can do both, but would rather invest effort where you see value.</w:t>
      </w:r>
    </w:p>
    <w:p>
      <w:pPr>
        <w:pStyle w:val="ListNumber"/>
        <w:spacing w:after="60"/>
        <w:ind w:left="403"/>
      </w:pPr>
      <w:r>
        <w:rPr>
          <w:sz w:val="21"/>
        </w:rPr>
        <w:t>Should the prototype demonstrate audit trail, snapshot versioning, user action logging and role-based access as visible features? We have assumed these are expected in this domain.</w:t>
      </w:r>
    </w:p>
    <w:p>
      <w:pPr>
        <w:pStyle w:val="ListNumber"/>
        <w:spacing w:after="60"/>
        <w:ind w:left="403"/>
      </w:pPr>
      <w:r>
        <w:rPr>
          <w:sz w:val="21"/>
        </w:rPr>
        <w:t>Are there hosting or data handling constraints we should observe for the demonstration?</w:t>
      </w:r>
    </w:p>
    <w:p>
      <w:pPr>
        <w:spacing w:before="200" w:after="60"/>
      </w:pPr>
      <w:r>
        <w:rPr>
          <w:b/>
          <w:color w:val="005AD2"/>
          <w:sz w:val="22"/>
        </w:rPr>
        <w:t>6.9  Edge cases</w:t>
      </w:r>
    </w:p>
    <w:p>
      <w:pPr>
        <w:pStyle w:val="ListNumber"/>
        <w:spacing w:after="60"/>
        <w:ind w:left="403"/>
      </w:pPr>
      <w:r>
        <w:rPr>
          <w:sz w:val="21"/>
        </w:rPr>
        <w:t>How should new product launches be handled, where no demand history exists and the initial period is pipeline fill rather than consumption?</w:t>
      </w:r>
    </w:p>
    <w:p>
      <w:pPr>
        <w:pStyle w:val="ListNumber"/>
        <w:spacing w:after="60"/>
        <w:ind w:left="403"/>
      </w:pPr>
      <w:r>
        <w:rPr>
          <w:sz w:val="21"/>
        </w:rPr>
        <w:t>Should the tool detect run-out risk during transitions between presentations, or last-time-buy situations?</w:t>
      </w:r>
    </w:p>
    <w:p>
      <w:pPr>
        <w:pStyle w:val="ListNumber"/>
        <w:spacing w:after="60"/>
        <w:ind w:left="403"/>
      </w:pPr>
      <w:r>
        <w:rPr>
          <w:sz w:val="21"/>
        </w:rPr>
        <w:t>Are tender-driven markets in scope? Their lumpy ordering patterns distort cover calculations and would need separate treatment.</w:t>
      </w:r>
    </w:p>
    <w:p>
      <w:pPr>
        <w:pStyle w:val="ListNumber"/>
        <w:spacing w:after="60"/>
        <w:ind w:left="403"/>
      </w:pPr>
      <w:r>
        <w:rPr>
          <w:sz w:val="21"/>
        </w:rPr>
        <w:t>Should cold chain excursions or temperature-related stock loss be treated as a supply signal?</w:t>
      </w:r>
    </w:p>
    <w:p>
      <w:pPr>
        <w:pStyle w:val="ListNumber"/>
        <w:spacing w:after="60"/>
        <w:ind w:left="403"/>
      </w:pPr>
      <w:r>
        <w:rPr>
          <w:sz w:val="21"/>
        </w:rPr>
        <w:t>Can a device or component shortage cause a finished-goods stock-out that we should model as a distinct cause?</w:t>
      </w:r>
    </w:p>
    <w:p>
      <w:pPr>
        <w:pStyle w:val="ListNumber"/>
        <w:spacing w:after="60"/>
        <w:ind w:left="403"/>
      </w:pPr>
      <w:r>
        <w:rPr>
          <w:sz w:val="21"/>
        </w:rPr>
        <w:t>Are quality holds, recalls or market withdrawals in scope, or explicitly excluded?</w:t>
      </w:r>
    </w:p>
    <w:p>
      <w:pPr>
        <w:spacing w:before="200" w:after="60"/>
      </w:pPr>
      <w:r>
        <w:rPr>
          <w:b/>
          <w:color w:val="005AD2"/>
          <w:sz w:val="22"/>
        </w:rPr>
        <w:t>6.10  Prioritisation and evaluation  [Priority]</w:t>
      </w:r>
    </w:p>
    <w:p>
      <w:pPr>
        <w:pStyle w:val="ListNumber"/>
        <w:spacing w:after="60"/>
        <w:ind w:left="403"/>
      </w:pPr>
      <w:r>
        <w:rPr>
          <w:sz w:val="21"/>
        </w:rPr>
        <w:t>Could you rank your five expectations — automated alerting, recommendation engine, management reporting, root cause analysis and KPI reporting? With the time available we would rather deliver three to a high standard than all five superficially, and we would prefer that trade-off to reflect your priorities rather than our assumptions.</w:t>
      </w:r>
    </w:p>
    <w:p>
      <w:pPr>
        <w:pStyle w:val="ListNumber"/>
        <w:spacing w:after="60"/>
        <w:ind w:left="403"/>
      </w:pPr>
      <w:r>
        <w:rPr>
          <w:sz w:val="21"/>
        </w:rPr>
        <w:t>How would you define success in measurable terms — time saved, earlier detection, reduced service failures, lower scrap? We would like to design toward your measure explicitly.</w:t>
      </w:r>
    </w:p>
    <w:p>
      <w:pPr>
        <w:pStyle w:val="ListNumber"/>
        <w:spacing w:after="60"/>
        <w:ind w:left="403"/>
      </w:pPr>
      <w:r>
        <w:rPr>
          <w:sz w:val="21"/>
        </w:rPr>
        <w:t>What would you consider the single most valuable thing to see in the final demonstration, and conversely what would feel like table stakes?</w:t>
      </w:r>
    </w:p>
    <w:p>
      <w:pPr>
        <w:pStyle w:val="ListNumber"/>
        <w:spacing w:after="60"/>
        <w:ind w:left="403"/>
      </w:pPr>
      <w:r>
        <w:rPr>
          <w:sz w:val="21"/>
        </w:rPr>
        <w:t>Who will evaluate the submission, and should the presentation weight business impact or technical depth?</w:t>
      </w:r>
    </w:p>
    <w:p>
      <w:pPr>
        <w:pStyle w:val="ListNumber"/>
        <w:spacing w:after="60"/>
        <w:ind w:left="403"/>
      </w:pPr>
      <w:r>
        <w:rPr>
          <w:sz w:val="21"/>
        </w:rPr>
        <w:t>Will the prototype be run by the evaluators or only demonstrated? If run, are there environment constraints we should accommodate?</w:t>
      </w:r>
    </w:p>
    <w:p>
      <w:pPr>
        <w:pStyle w:val="ListNumber"/>
        <w:spacing w:after="60"/>
        <w:ind w:left="403"/>
      </w:pPr>
      <w:r>
        <w:rPr>
          <w:sz w:val="21"/>
        </w:rPr>
        <w:t>Has this problem been attempted previously, internally or in an earlier hackathon? Understanding what did not work would save us considerable time.</w:t>
      </w:r>
    </w:p>
    <w:p>
      <w:pPr>
        <w:spacing w:before="280" w:after="100"/>
        <w:pBdr>
          <w:bottom w:val="single" w:sz="6" w:color="C6CEDA"/>
        </w:pBdr>
      </w:pPr>
      <w:r>
        <w:rPr>
          <w:b/>
          <w:color w:val="1F3364"/>
          <w:sz w:val="26"/>
        </w:rPr>
        <w:t>7.  Requests</w:t>
      </w:r>
    </w:p>
    <w:p>
      <w:pPr>
        <w:spacing w:after="120"/>
      </w:pPr>
      <w:r>
        <w:rPr>
          <w:b w:val="0"/>
          <w:i w:val="0"/>
          <w:sz w:val="21"/>
        </w:rPr>
        <w:t>To keep the build on schedule, we would appreciate your help with three items:</w:t>
      </w:r>
    </w:p>
    <w:tbl>
      <w:tblPr>
        <w:tblStyle w:val="TableGrid"/>
        <w:tblW w:type="auto" w:w="0"/>
        <w:jc w:val="center"/>
        <w:tblLook w:firstColumn="1" w:firstRow="1" w:lastColumn="0" w:lastRow="0" w:noHBand="0" w:noVBand="1" w:val="04A0"/>
      </w:tblPr>
      <w:tblGrid>
        <w:gridCol w:w="3216"/>
        <w:gridCol w:w="3216"/>
        <w:gridCol w:w="3216"/>
      </w:tblGrid>
      <w:tr>
        <w:tc>
          <w:tcPr>
            <w:tcW w:type="dxa" w:w="504"/>
            <w:shd w:val="clear" w:fill="1F3364"/>
          </w:tcPr>
          <w:p>
            <w:r/>
            <w:r>
              <w:rPr>
                <w:b/>
                <w:color w:val="FFFFFF"/>
                <w:sz w:val="19"/>
              </w:rPr>
              <w:t>#</w:t>
            </w:r>
          </w:p>
        </w:tc>
        <w:tc>
          <w:tcPr>
            <w:tcW w:type="dxa" w:w="2736"/>
            <w:shd w:val="clear" w:fill="1F3364"/>
          </w:tcPr>
          <w:p>
            <w:r/>
            <w:r>
              <w:rPr>
                <w:b/>
                <w:color w:val="FFFFFF"/>
                <w:sz w:val="19"/>
              </w:rPr>
              <w:t>Request</w:t>
            </w:r>
          </w:p>
        </w:tc>
        <w:tc>
          <w:tcPr>
            <w:tcW w:type="dxa" w:w="6480"/>
            <w:shd w:val="clear" w:fill="1F3364"/>
          </w:tcPr>
          <w:p>
            <w:r/>
            <w:r>
              <w:rPr>
                <w:b/>
                <w:color w:val="FFFFFF"/>
                <w:sz w:val="19"/>
              </w:rPr>
              <w:t>Detail</w:t>
            </w:r>
          </w:p>
        </w:tc>
      </w:tr>
      <w:tr>
        <w:tc>
          <w:tcPr>
            <w:tcW w:type="dxa" w:w="504"/>
          </w:tcPr>
          <w:p>
            <w:pPr>
              <w:spacing w:after="40"/>
            </w:pPr>
            <w:r/>
            <w:r>
              <w:rPr>
                <w:sz w:val="19"/>
              </w:rPr>
              <w:t>1</w:t>
            </w:r>
          </w:p>
        </w:tc>
        <w:tc>
          <w:tcPr>
            <w:tcW w:type="dxa" w:w="2736"/>
          </w:tcPr>
          <w:p>
            <w:pPr>
              <w:spacing w:after="40"/>
            </w:pPr>
            <w:r/>
            <w:r>
              <w:rPr>
                <w:sz w:val="19"/>
              </w:rPr>
              <w:t>Reference data for the missing constraints</w:t>
            </w:r>
          </w:p>
        </w:tc>
        <w:tc>
          <w:tcPr>
            <w:tcW w:type="dxa" w:w="6480"/>
          </w:tcPr>
          <w:p>
            <w:pPr>
              <w:spacing w:after="40"/>
            </w:pPr>
            <w:r/>
            <w:r>
              <w:rPr>
                <w:sz w:val="19"/>
              </w:rPr>
              <w:t>The extract contains no replenishment lead time, minimum order quantity, batch or lot sizing, or shelf life. Lead time is the most important of these, since without it we cannot tell whether a projected breach is still actionable. Approximate or typical values by market would be sufficient — they need not be precise to be useful.</w:t>
            </w:r>
          </w:p>
        </w:tc>
      </w:tr>
      <w:tr>
        <w:tc>
          <w:tcPr>
            <w:tcW w:type="dxa" w:w="504"/>
          </w:tcPr>
          <w:p>
            <w:pPr>
              <w:spacing w:after="40"/>
            </w:pPr>
            <w:r/>
            <w:r>
              <w:rPr>
                <w:sz w:val="19"/>
              </w:rPr>
              <w:t>2</w:t>
            </w:r>
          </w:p>
        </w:tc>
        <w:tc>
          <w:tcPr>
            <w:tcW w:type="dxa" w:w="2736"/>
          </w:tcPr>
          <w:p>
            <w:pPr>
              <w:spacing w:after="40"/>
            </w:pPr>
            <w:r/>
            <w:r>
              <w:rPr>
                <w:sz w:val="19"/>
              </w:rPr>
              <w:t>A short walkthrough with your analyst</w:t>
            </w:r>
          </w:p>
        </w:tc>
        <w:tc>
          <w:tcPr>
            <w:tcW w:type="dxa" w:w="6480"/>
          </w:tcPr>
          <w:p>
            <w:pPr>
              <w:spacing w:after="40"/>
            </w:pPr>
            <w:r/>
            <w:r>
              <w:rPr>
                <w:sz w:val="19"/>
              </w:rPr>
              <w:t>To confirm our reading of several fields, in particular how total supply relates to the order pipeline stages and whether the safety stock figure is intended to vary across the horizon. Both are set out in the findings note.</w:t>
            </w:r>
          </w:p>
        </w:tc>
      </w:tr>
      <w:tr>
        <w:tc>
          <w:tcPr>
            <w:tcW w:type="dxa" w:w="504"/>
          </w:tcPr>
          <w:p>
            <w:pPr>
              <w:spacing w:after="40"/>
            </w:pPr>
            <w:r/>
            <w:r>
              <w:rPr>
                <w:sz w:val="19"/>
              </w:rPr>
              <w:t>3</w:t>
            </w:r>
          </w:p>
        </w:tc>
        <w:tc>
          <w:tcPr>
            <w:tcW w:type="dxa" w:w="2736"/>
          </w:tcPr>
          <w:p>
            <w:pPr>
              <w:spacing w:after="40"/>
            </w:pPr>
            <w:r/>
            <w:r>
              <w:rPr>
                <w:sz w:val="19"/>
              </w:rPr>
              <w:t>A mid-build review</w:t>
            </w:r>
          </w:p>
        </w:tc>
        <w:tc>
          <w:tcPr>
            <w:tcW w:type="dxa" w:w="6480"/>
          </w:tcPr>
          <w:p>
            <w:pPr>
              <w:spacing w:after="40"/>
            </w:pPr>
            <w:r/>
            <w:r>
              <w:rPr>
                <w:sz w:val="19"/>
              </w:rPr>
              <w:t>A brief checkpoint once the corridor logic and first screen are built, so that any misalignment is corrected while it is still inexpensive to change.</w:t>
            </w:r>
          </w:p>
        </w:tc>
      </w:tr>
    </w:tbl>
    <w:p>
      <w:pPr>
        <w:spacing w:after="80"/>
      </w:pPr>
      <w:r>
        <w:rPr>
          <w:b w:val="0"/>
          <w:i w:val="0"/>
          <w:sz w:val="21"/>
        </w:rPr>
      </w:r>
    </w:p>
    <w:p>
      <w:pPr>
        <w:spacing w:after="120"/>
      </w:pPr>
      <w:r>
        <w:rPr>
          <w:b w:val="0"/>
          <w:i/>
          <w:sz w:val="21"/>
        </w:rPr>
        <w:t>None of these block us. Where a value is unavailable we will treat it as a planner-maintained parameter and mark any recommendation that depends on it as provisional, so development continues either way.</w:t>
      </w:r>
    </w:p>
    <w:p>
      <w:pPr>
        <w:spacing w:before="280" w:after="100"/>
        <w:pBdr>
          <w:bottom w:val="single" w:sz="6" w:color="C6CEDA"/>
        </w:pBdr>
      </w:pPr>
      <w:r>
        <w:rPr>
          <w:b/>
          <w:color w:val="1F3364"/>
          <w:sz w:val="26"/>
        </w:rPr>
        <w:t>7.  Addendum — As Built</w:t>
      </w:r>
    </w:p>
    <w:p>
      <w:pPr>
        <w:spacing w:after="120"/>
      </w:pPr>
      <w:r>
        <w:rPr>
          <w:b w:val="0"/>
          <w:i w:val="0"/>
          <w:sz w:val="21"/>
        </w:rPr>
        <w:t>The sections above record what we designed and asked before building. This addendum records what was actually built and measured, with every figure read directly from the prototype's own output payload rather than quoted by hand.</w:t>
      </w:r>
    </w:p>
    <w:p>
      <w:pPr>
        <w:spacing w:before="200" w:after="60"/>
      </w:pPr>
      <w:r>
        <w:rPr>
          <w:b/>
          <w:color w:val="005AD2"/>
          <w:sz w:val="22"/>
        </w:rPr>
        <w:t>7.1  What was built</w:t>
      </w:r>
    </w:p>
    <w:p>
      <w:pPr>
        <w:pStyle w:val="ListBullet"/>
        <w:spacing w:after="60"/>
        <w:ind w:left="403"/>
      </w:pPr>
      <w:r>
        <w:rPr>
          <w:sz w:val="21"/>
        </w:rPr>
        <w:t>A five-layer deterministic engine (ingestion &amp; data-quality gate, forward projection on the verified recursion, corridor &amp; signal engine, diagnosis &amp; recommendation, delivery) exposed through a planner-facing web console with a persistent GxP audit ledger.</w:t>
      </w:r>
    </w:p>
    <w:p>
      <w:pPr>
        <w:pStyle w:val="ListBullet"/>
        <w:spacing w:after="60"/>
        <w:ind w:left="403"/>
      </w:pPr>
      <w:r>
        <w:rPr>
          <w:sz w:val="21"/>
        </w:rPr>
        <w:t>Priority Risk Score ranking compresses 76,440 naive threshold alerts into a queue of 15 actionable signals — the “Inbox Noise to Strategic Signal” filter.</w:t>
      </w:r>
    </w:p>
    <w:p>
      <w:pPr>
        <w:pStyle w:val="ListBullet"/>
        <w:spacing w:after="60"/>
        <w:ind w:left="403"/>
      </w:pPr>
      <w:r>
        <w:rPr>
          <w:sz w:val="21"/>
        </w:rPr>
        <w:t>A Global Corridor Health Index (CHI) — our proposed Corridor Health KPI, which mentors confirmed does not yet exist in their reporting suite — aggregating stock-out penalties, unconfirmed-supply risk and lead-time cliffs into one 0–100 leading measure.</w:t>
      </w:r>
    </w:p>
    <w:p>
      <w:pPr>
        <w:pStyle w:val="ListBullet"/>
        <w:spacing w:after="60"/>
        <w:ind w:left="403"/>
      </w:pPr>
      <w:r>
        <w:rPr>
          <w:sz w:val="21"/>
        </w:rPr>
        <w:t>Deliveries via the mentor's preferred email channel (data-driven digest, no hardcoded figures), a Monday briefing meeting pack, deck, and full explainability including the ROQ derivation.</w:t>
      </w:r>
    </w:p>
    <w:p>
      <w:pPr>
        <w:pStyle w:val="ListBullet"/>
        <w:spacing w:after="60"/>
        <w:ind w:left="403"/>
      </w:pPr>
      <w:r>
        <w:rPr>
          <w:sz w:val="21"/>
        </w:rPr>
        <w:t>Human-in-the-loop GxP approval workflow with reason-coded overrides; the audit trail persists across page reloads and server restarts.</w:t>
      </w:r>
    </w:p>
    <w:p>
      <w:pPr>
        <w:spacing w:before="200" w:after="60"/>
      </w:pPr>
      <w:r>
        <w:rPr>
          <w:b/>
          <w:color w:val="005AD2"/>
          <w:sz w:val="22"/>
        </w:rPr>
        <w:t>7.2  Measured results (benchmark dataset, engine-computed)</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fill="1F3364"/>
          </w:tcPr>
          <w:p>
            <w:r/>
            <w:r>
              <w:rPr>
                <w:b/>
                <w:color w:val="FFFFFF"/>
                <w:sz w:val="19"/>
              </w:rPr>
              <w:t>Measure</w:t>
            </w:r>
          </w:p>
        </w:tc>
        <w:tc>
          <w:tcPr>
            <w:tcW w:type="dxa" w:w="2736"/>
            <w:shd w:val="clear" w:fill="1F3364"/>
          </w:tcPr>
          <w:p>
            <w:r/>
            <w:r>
              <w:rPr>
                <w:b/>
                <w:color w:val="FFFFFF"/>
                <w:sz w:val="19"/>
              </w:rPr>
              <w:t>Result</w:t>
            </w:r>
          </w:p>
        </w:tc>
        <w:tc>
          <w:tcPr>
            <w:tcW w:type="dxa" w:w="4752"/>
            <w:shd w:val="clear" w:fill="1F3364"/>
          </w:tcPr>
          <w:p>
            <w:r/>
            <w:r>
              <w:rPr>
                <w:b/>
                <w:color w:val="FFFFFF"/>
                <w:sz w:val="19"/>
              </w:rPr>
              <w:t>Basis</w:t>
            </w:r>
          </w:p>
        </w:tc>
      </w:tr>
      <w:tr>
        <w:tc>
          <w:tcPr>
            <w:tcW w:type="dxa" w:w="2304"/>
          </w:tcPr>
          <w:p>
            <w:pPr>
              <w:spacing w:after="40"/>
            </w:pPr>
            <w:r/>
            <w:r>
              <w:rPr>
                <w:sz w:val="19"/>
              </w:rPr>
              <w:t>Queue maturation (understock side)</w:t>
            </w:r>
          </w:p>
        </w:tc>
        <w:tc>
          <w:tcPr>
            <w:tcW w:type="dxa" w:w="2736"/>
          </w:tcPr>
          <w:p>
            <w:pPr>
              <w:spacing w:after="40"/>
            </w:pPr>
            <w:r/>
            <w:r>
              <w:rPr>
                <w:sz w:val="19"/>
              </w:rPr>
              <w:t>61.5% vs 11.56% random (5.32×)</w:t>
            </w:r>
          </w:p>
        </w:tc>
        <w:tc>
          <w:tcPr>
            <w:tcW w:type="dxa" w:w="4752"/>
          </w:tcPr>
          <w:p>
            <w:pPr>
              <w:spacing w:after="40"/>
            </w:pPr>
            <w:r/>
            <w:r>
              <w:rPr>
                <w:sz w:val="19"/>
              </w:rPr>
              <w:t>Top-ranked understock signals whose trajectories reach a real stock-out without intervention — the fair precision measure</w:t>
            </w:r>
          </w:p>
        </w:tc>
      </w:tr>
      <w:tr>
        <w:tc>
          <w:tcPr>
            <w:tcW w:type="dxa" w:w="2304"/>
          </w:tcPr>
          <w:p>
            <w:pPr>
              <w:spacing w:after="40"/>
            </w:pPr>
            <w:r/>
            <w:r>
              <w:rPr>
                <w:sz w:val="19"/>
              </w:rPr>
              <w:t>Ranking validation</w:t>
            </w:r>
          </w:p>
        </w:tc>
        <w:tc>
          <w:tcPr>
            <w:tcW w:type="dxa" w:w="2736"/>
          </w:tcPr>
          <w:p>
            <w:pPr>
              <w:spacing w:after="40"/>
            </w:pPr>
            <w:r/>
            <w:r>
              <w:rPr>
                <w:sz w:val="19"/>
              </w:rPr>
              <w:t>top-15 precision 80.0% (6.96× base)</w:t>
            </w:r>
          </w:p>
        </w:tc>
        <w:tc>
          <w:tcPr>
            <w:tcW w:type="dxa" w:w="4752"/>
          </w:tcPr>
          <w:p>
            <w:pPr>
              <w:spacing w:after="40"/>
            </w:pPr>
            <w:r/>
            <w:r>
              <w:rPr>
                <w:sz w:val="19"/>
              </w:rPr>
              <w:t>Week-1 breach episodes; maturation dose-response across coverage-deficit deciles is monotone</w:t>
            </w:r>
          </w:p>
        </w:tc>
      </w:tr>
      <w:tr>
        <w:tc>
          <w:tcPr>
            <w:tcW w:type="dxa" w:w="2304"/>
          </w:tcPr>
          <w:p>
            <w:pPr>
              <w:spacing w:after="40"/>
            </w:pPr>
            <w:r/>
            <w:r>
              <w:rPr>
                <w:sz w:val="19"/>
              </w:rPr>
              <w:t>CHI falsification</w:t>
            </w:r>
          </w:p>
        </w:tc>
        <w:tc>
          <w:tcPr>
            <w:tcW w:type="dxa" w:w="2736"/>
          </w:tcPr>
          <w:p>
            <w:pPr>
              <w:spacing w:after="40"/>
            </w:pPr>
            <w:r/>
            <w:r>
              <w:rPr>
                <w:sz w:val="19"/>
              </w:rPr>
              <w:t>ρ = -0.512, p = 0.0244</w:t>
            </w:r>
          </w:p>
        </w:tc>
        <w:tc>
          <w:tcPr>
            <w:tcW w:type="dxa" w:w="4752"/>
          </w:tcPr>
          <w:p>
            <w:pPr>
              <w:spacing w:after="40"/>
            </w:pPr>
            <w:r/>
            <w:r>
              <w:rPr>
                <w:sz w:val="19"/>
              </w:rPr>
              <w:t>15 region/brand cuts; lower CHI predicts higher realized stock-out rates (one-sided permutation test)</w:t>
            </w:r>
          </w:p>
        </w:tc>
      </w:tr>
      <w:tr>
        <w:tc>
          <w:tcPr>
            <w:tcW w:type="dxa" w:w="2304"/>
          </w:tcPr>
          <w:p>
            <w:pPr>
              <w:spacing w:after="40"/>
            </w:pPr>
            <w:r/>
            <w:r>
              <w:rPr>
                <w:sz w:val="19"/>
              </w:rPr>
              <w:t>Early-warning capture</w:t>
            </w:r>
          </w:p>
        </w:tc>
        <w:tc>
          <w:tcPr>
            <w:tcW w:type="dxa" w:w="2736"/>
          </w:tcPr>
          <w:p>
            <w:pPr>
              <w:spacing w:after="40"/>
            </w:pPr>
            <w:r/>
            <w:r>
              <w:rPr>
                <w:sz w:val="19"/>
              </w:rPr>
              <w:t>100.0% (structural)</w:t>
            </w:r>
          </w:p>
        </w:tc>
        <w:tc>
          <w:tcPr>
            <w:tcW w:type="dxa" w:w="4752"/>
          </w:tcPr>
          <w:p>
            <w:pPr>
              <w:spacing w:after="40"/>
            </w:pPr>
            <w:r/>
            <w:r>
              <w:rPr>
                <w:sz w:val="19"/>
              </w:rPr>
              <w:t>Disclosed: breach-before-stockout is guaranteed by construction — a property of the corridor definition, not an achievement</w:t>
            </w:r>
          </w:p>
        </w:tc>
      </w:tr>
      <w:tr>
        <w:tc>
          <w:tcPr>
            <w:tcW w:type="dxa" w:w="2304"/>
          </w:tcPr>
          <w:p>
            <w:pPr>
              <w:spacing w:after="40"/>
            </w:pPr>
            <w:r/>
            <w:r>
              <w:rPr>
                <w:sz w:val="19"/>
              </w:rPr>
              <w:t>Global CHI</w:t>
            </w:r>
          </w:p>
        </w:tc>
        <w:tc>
          <w:tcPr>
            <w:tcW w:type="dxa" w:w="2736"/>
          </w:tcPr>
          <w:p>
            <w:pPr>
              <w:spacing w:after="40"/>
            </w:pPr>
            <w:r/>
            <w:r>
              <w:rPr>
                <w:sz w:val="19"/>
              </w:rPr>
              <w:t>86.8</w:t>
            </w:r>
          </w:p>
        </w:tc>
        <w:tc>
          <w:tcPr>
            <w:tcW w:type="dxa" w:w="4752"/>
          </w:tcPr>
          <w:p>
            <w:pPr>
              <w:spacing w:after="40"/>
            </w:pPr>
            <w:r/>
            <w:r>
              <w:rPr>
                <w:sz w:val="19"/>
              </w:rPr>
              <w:t>Leading network-stress measure (0–100) vs contractual OTIF lagging at 98.5</w:t>
            </w:r>
          </w:p>
        </w:tc>
      </w:tr>
      <w:tr>
        <w:tc>
          <w:tcPr>
            <w:tcW w:type="dxa" w:w="2304"/>
          </w:tcPr>
          <w:p>
            <w:pPr>
              <w:spacing w:after="40"/>
            </w:pPr>
            <w:r/>
            <w:r>
              <w:rPr>
                <w:sz w:val="19"/>
              </w:rPr>
              <w:t>Evaluated network</w:t>
            </w:r>
          </w:p>
        </w:tc>
        <w:tc>
          <w:tcPr>
            <w:tcW w:type="dxa" w:w="2736"/>
          </w:tcPr>
          <w:p>
            <w:pPr>
              <w:spacing w:after="40"/>
            </w:pPr>
            <w:r/>
            <w:r>
              <w:rPr>
                <w:sz w:val="19"/>
              </w:rPr>
              <w:t>215,280 SKU-weeks · 4,140 corridors</w:t>
            </w:r>
          </w:p>
        </w:tc>
        <w:tc>
          <w:tcPr>
            <w:tcW w:type="dxa" w:w="4752"/>
          </w:tcPr>
          <w:p>
            <w:pPr>
              <w:spacing w:after="40"/>
            </w:pPr>
            <w:r/>
            <w:r>
              <w:rPr>
                <w:sz w:val="19"/>
              </w:rPr>
              <w:t>260,000 raw SKU-weeks minus 44,720 permanently-breaching master-data weeks recalled to Parameter Review</w:t>
            </w:r>
          </w:p>
        </w:tc>
      </w:tr>
    </w:tbl>
    <w:p>
      <w:pPr>
        <w:spacing w:after="80"/>
      </w:pPr>
      <w:r>
        <w:rPr>
          <w:b w:val="0"/>
          <w:i w:val="0"/>
          <w:sz w:val="21"/>
        </w:rPr>
      </w:r>
    </w:p>
    <w:p>
      <w:pPr>
        <w:spacing w:after="120"/>
      </w:pPr>
      <w:r>
        <w:rPr>
          <w:b w:val="0"/>
          <w:i/>
          <w:sz w:val="21"/>
        </w:rPr>
        <w:t>Statistical honesty carried through to the end: the recall of the naive breach rule is an algebraic identity, and our measured precision figures are computed from the input panel itself — the payload ships with the method note attached so any figure on screen can be traced to its definition.</w:t>
      </w:r>
    </w:p>
    <w:p>
      <w:pPr>
        <w:pBdr>
          <w:bottom w:val="single" w:sz="6" w:color="C6CEDA"/>
        </w:pBdr>
      </w:pPr>
    </w:p>
    <w:p>
      <w:pPr>
        <w:jc w:val="center"/>
      </w:pPr>
      <w:r>
        <w:rPr>
          <w:color w:val="595959"/>
          <w:sz w:val="17"/>
        </w:rPr>
        <w:t>Prepared by Team Cipher  |  Amity University  |  Novo Nordisk GBS Hackathon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