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811B" w14:textId="77777777" w:rsidR="002660A6" w:rsidRPr="002660A6" w:rsidRDefault="002660A6" w:rsidP="002660A6">
      <w:pPr>
        <w:rPr>
          <w:b/>
          <w:bCs/>
        </w:rPr>
      </w:pPr>
      <w:r w:rsidRPr="002660A6">
        <w:rPr>
          <w:b/>
          <w:bCs/>
        </w:rPr>
        <w:t>Team Cipher: Exhaustive Technical Minutes of Mentor Meeting 2</w:t>
      </w:r>
    </w:p>
    <w:p w14:paraId="156ECF9D" w14:textId="77777777" w:rsidR="002660A6" w:rsidRPr="002660A6" w:rsidRDefault="002660A6" w:rsidP="002660A6">
      <w:pPr>
        <w:rPr>
          <w:b/>
          <w:bCs/>
        </w:rPr>
      </w:pPr>
      <w:r w:rsidRPr="002660A6">
        <w:rPr>
          <w:b/>
          <w:bCs/>
        </w:rPr>
        <w:t>1. Executive &amp; Meeting Metadata</w:t>
      </w:r>
    </w:p>
    <w:p w14:paraId="571F759A" w14:textId="77777777" w:rsidR="002660A6" w:rsidRPr="002660A6" w:rsidRDefault="002660A6" w:rsidP="002660A6">
      <w:pPr>
        <w:numPr>
          <w:ilvl w:val="0"/>
          <w:numId w:val="1"/>
        </w:numPr>
      </w:pPr>
      <w:r w:rsidRPr="002660A6">
        <w:rPr>
          <w:b/>
          <w:bCs/>
        </w:rPr>
        <w:t>Date of Session:</w:t>
      </w:r>
      <w:r w:rsidRPr="002660A6">
        <w:t xml:space="preserve"> Late August 2026.</w:t>
      </w:r>
    </w:p>
    <w:p w14:paraId="6CEF7E4B" w14:textId="77777777" w:rsidR="002660A6" w:rsidRPr="002660A6" w:rsidRDefault="002660A6" w:rsidP="002660A6">
      <w:pPr>
        <w:numPr>
          <w:ilvl w:val="0"/>
          <w:numId w:val="1"/>
        </w:numPr>
      </w:pPr>
      <w:r w:rsidRPr="002660A6">
        <w:rPr>
          <w:b/>
          <w:bCs/>
        </w:rPr>
        <w:t>Time of Session:</w:t>
      </w:r>
      <w:r w:rsidRPr="002660A6">
        <w:t xml:space="preserve"> Started at 7:34 PM.</w:t>
      </w:r>
    </w:p>
    <w:p w14:paraId="3ACCEBEC" w14:textId="77777777" w:rsidR="002660A6" w:rsidRPr="002660A6" w:rsidRDefault="002660A6" w:rsidP="002660A6">
      <w:pPr>
        <w:numPr>
          <w:ilvl w:val="0"/>
          <w:numId w:val="1"/>
        </w:numPr>
      </w:pPr>
      <w:r w:rsidRPr="002660A6">
        <w:rPr>
          <w:b/>
          <w:bCs/>
        </w:rPr>
        <w:t>Mentorship Context:</w:t>
      </w:r>
      <w:r w:rsidRPr="002660A6">
        <w:t xml:space="preserve"> Weekly virtual connect via Microsoft Teams, scheduled for 10–15 minutes specifically for Team Cipher to keep the session highly focused.</w:t>
      </w:r>
    </w:p>
    <w:p w14:paraId="62838D21" w14:textId="77777777" w:rsidR="002660A6" w:rsidRPr="002660A6" w:rsidRDefault="002660A6" w:rsidP="002660A6">
      <w:pPr>
        <w:numPr>
          <w:ilvl w:val="0"/>
          <w:numId w:val="1"/>
        </w:numPr>
      </w:pPr>
      <w:r w:rsidRPr="002660A6">
        <w:rPr>
          <w:b/>
          <w:bCs/>
        </w:rPr>
        <w:t>Participants:</w:t>
      </w:r>
      <w:r w:rsidRPr="002660A6">
        <w:t xml:space="preserve"> </w:t>
      </w:r>
    </w:p>
    <w:p w14:paraId="6BCA275E" w14:textId="77777777" w:rsidR="002660A6" w:rsidRPr="002660A6" w:rsidRDefault="002660A6" w:rsidP="002660A6">
      <w:pPr>
        <w:numPr>
          <w:ilvl w:val="1"/>
          <w:numId w:val="1"/>
        </w:numPr>
      </w:pPr>
      <w:r w:rsidRPr="002660A6">
        <w:rPr>
          <w:b/>
          <w:bCs/>
        </w:rPr>
        <w:t>Team Cipher (Amity University):</w:t>
      </w:r>
      <w:r w:rsidRPr="002660A6">
        <w:t xml:space="preserve"> Avila Princy M, Chirag S.</w:t>
      </w:r>
    </w:p>
    <w:p w14:paraId="45552F11" w14:textId="77777777" w:rsidR="002660A6" w:rsidRPr="002660A6" w:rsidRDefault="002660A6" w:rsidP="002660A6">
      <w:pPr>
        <w:numPr>
          <w:ilvl w:val="1"/>
          <w:numId w:val="1"/>
        </w:numPr>
      </w:pPr>
      <w:r w:rsidRPr="002660A6">
        <w:rPr>
          <w:b/>
          <w:bCs/>
        </w:rPr>
        <w:t>Novo Nordisk GBS Mentors:</w:t>
      </w:r>
      <w:r w:rsidRPr="002660A6">
        <w:t xml:space="preserve"> Ravi, Ashish.</w:t>
      </w:r>
    </w:p>
    <w:p w14:paraId="6FFB8AFF" w14:textId="77777777" w:rsidR="002660A6" w:rsidRPr="002660A6" w:rsidRDefault="002660A6" w:rsidP="002660A6">
      <w:pPr>
        <w:numPr>
          <w:ilvl w:val="0"/>
          <w:numId w:val="1"/>
        </w:numPr>
      </w:pPr>
      <w:r w:rsidRPr="002660A6">
        <w:rPr>
          <w:b/>
          <w:bCs/>
        </w:rPr>
        <w:t>Core Objective:</w:t>
      </w:r>
      <w:r w:rsidRPr="002660A6">
        <w:t xml:space="preserve"> Resolve critical gaps between the raw dataset findings, solution design assumptions, and real-world pharmaceutical logistics constraints.</w:t>
      </w:r>
    </w:p>
    <w:p w14:paraId="20104117" w14:textId="77777777" w:rsidR="002660A6" w:rsidRPr="002660A6" w:rsidRDefault="002660A6" w:rsidP="002660A6">
      <w:r w:rsidRPr="002660A6">
        <w:pict w14:anchorId="6E0DF594">
          <v:rect id="_x0000_i1062" style="width:0;height:1.5pt" o:hralign="center" o:hrstd="t" o:hr="t" fillcolor="#a0a0a0" stroked="f"/>
        </w:pict>
      </w:r>
    </w:p>
    <w:p w14:paraId="2A9DCAED" w14:textId="77777777" w:rsidR="002660A6" w:rsidRPr="002660A6" w:rsidRDefault="002660A6" w:rsidP="002660A6">
      <w:pPr>
        <w:rPr>
          <w:b/>
          <w:bCs/>
        </w:rPr>
      </w:pPr>
      <w:r w:rsidRPr="002660A6">
        <w:rPr>
          <w:b/>
          <w:bCs/>
        </w:rPr>
        <w:t>2. Core Philosophical Shift: The Mentors' Stance on Student Autonomy</w:t>
      </w:r>
    </w:p>
    <w:p w14:paraId="027EA916" w14:textId="77777777" w:rsidR="002660A6" w:rsidRPr="002660A6" w:rsidRDefault="002660A6" w:rsidP="002660A6">
      <w:r w:rsidRPr="002660A6">
        <w:t>A major part of the session focused on how your team (as student project managers) should handle assumptions:</w:t>
      </w:r>
    </w:p>
    <w:p w14:paraId="5029734E" w14:textId="77777777" w:rsidR="002660A6" w:rsidRPr="002660A6" w:rsidRDefault="002660A6" w:rsidP="002660A6">
      <w:pPr>
        <w:numPr>
          <w:ilvl w:val="0"/>
          <w:numId w:val="2"/>
        </w:numPr>
      </w:pPr>
      <w:r w:rsidRPr="002660A6">
        <w:rPr>
          <w:b/>
          <w:bCs/>
        </w:rPr>
        <w:t>No Permission Needed for Assumptions:</w:t>
      </w:r>
      <w:r w:rsidRPr="002660A6">
        <w:t xml:space="preserve"> Avila asked the mentors to validate each of their team's built-in assumptions. Ravi gave a definitive answer: </w:t>
      </w:r>
      <w:r w:rsidRPr="002660A6">
        <w:rPr>
          <w:b/>
          <w:bCs/>
        </w:rPr>
        <w:t>student teams do not need constant approval or verification for technical and design assumptions</w:t>
      </w:r>
      <w:r w:rsidRPr="002660A6">
        <w:t>.</w:t>
      </w:r>
    </w:p>
    <w:p w14:paraId="613947A9" w14:textId="77777777" w:rsidR="002660A6" w:rsidRPr="002660A6" w:rsidRDefault="002660A6" w:rsidP="002660A6">
      <w:pPr>
        <w:numPr>
          <w:ilvl w:val="0"/>
          <w:numId w:val="2"/>
        </w:numPr>
      </w:pPr>
      <w:r w:rsidRPr="002660A6">
        <w:rPr>
          <w:b/>
          <w:bCs/>
        </w:rPr>
        <w:t>The Pragmatic Standard:</w:t>
      </w:r>
      <w:r w:rsidRPr="002660A6">
        <w:t xml:space="preserve"> Ravi clarified that because this is a standalone prototype, many real-world operational nuances cannot be perfectly mirrored. He stated: </w:t>
      </w:r>
    </w:p>
    <w:p w14:paraId="6D7F0472" w14:textId="77777777" w:rsidR="002660A6" w:rsidRPr="002660A6" w:rsidRDefault="002660A6" w:rsidP="002660A6">
      <w:r w:rsidRPr="002660A6">
        <w:rPr>
          <w:i/>
          <w:iCs/>
        </w:rPr>
        <w:t>"If your assumptions help the mathematical model run and deliver the automated exception-reporting solution you are proposing, that is more than enough."</w:t>
      </w:r>
    </w:p>
    <w:p w14:paraId="3CDA7264" w14:textId="77777777" w:rsidR="002660A6" w:rsidRPr="002660A6" w:rsidRDefault="002660A6" w:rsidP="002660A6">
      <w:pPr>
        <w:numPr>
          <w:ilvl w:val="0"/>
          <w:numId w:val="2"/>
        </w:numPr>
      </w:pPr>
      <w:r w:rsidRPr="002660A6">
        <w:rPr>
          <w:b/>
          <w:bCs/>
        </w:rPr>
        <w:t>The Predictive Mindset Validated:</w:t>
      </w:r>
      <w:r w:rsidRPr="002660A6">
        <w:t xml:space="preserve"> The mentors fully endorsed your design strategy of detecting breaches against a </w:t>
      </w:r>
      <w:r w:rsidRPr="002660A6">
        <w:rPr>
          <w:b/>
          <w:bCs/>
        </w:rPr>
        <w:t>projected stock trajectory</w:t>
      </w:r>
      <w:r w:rsidRPr="002660A6">
        <w:t xml:space="preserve"> (forward-looking 52-week horizon) rather than just reactive, current on-hand inventory levels.</w:t>
      </w:r>
    </w:p>
    <w:p w14:paraId="23632C3D" w14:textId="77777777" w:rsidR="002660A6" w:rsidRPr="002660A6" w:rsidRDefault="002660A6" w:rsidP="002660A6">
      <w:r w:rsidRPr="002660A6">
        <w:pict w14:anchorId="28931545">
          <v:rect id="_x0000_i1063" style="width:0;height:1.5pt" o:hralign="center" o:hrstd="t" o:hr="t" fillcolor="#a0a0a0" stroked="f"/>
        </w:pict>
      </w:r>
    </w:p>
    <w:p w14:paraId="2EA4E5B2" w14:textId="77777777" w:rsidR="002660A6" w:rsidRPr="002660A6" w:rsidRDefault="002660A6" w:rsidP="002660A6">
      <w:pPr>
        <w:rPr>
          <w:b/>
          <w:bCs/>
        </w:rPr>
      </w:pPr>
      <w:r w:rsidRPr="002660A6">
        <w:rPr>
          <w:b/>
          <w:bCs/>
        </w:rPr>
        <w:t>3. Operational Workload Management: "From Inbox Noise to Strategic Signal"</w:t>
      </w:r>
    </w:p>
    <w:p w14:paraId="070CA6B9" w14:textId="77777777" w:rsidR="002660A6" w:rsidRPr="002660A6" w:rsidRDefault="002660A6" w:rsidP="002660A6">
      <w:r w:rsidRPr="002660A6">
        <w:t>The mentors provided a vital reality check on how a real pharmaceutical planner works, which must shape your user interface design:</w:t>
      </w:r>
    </w:p>
    <w:p w14:paraId="0B64BE82" w14:textId="77777777" w:rsidR="002660A6" w:rsidRPr="002660A6" w:rsidRDefault="002660A6" w:rsidP="002660A6">
      <w:pPr>
        <w:numPr>
          <w:ilvl w:val="0"/>
          <w:numId w:val="3"/>
        </w:numPr>
      </w:pPr>
      <w:r w:rsidRPr="002660A6">
        <w:rPr>
          <w:b/>
          <w:bCs/>
        </w:rPr>
        <w:lastRenderedPageBreak/>
        <w:t>Dashboard Fatigue:</w:t>
      </w:r>
      <w:r w:rsidRPr="002660A6">
        <w:t xml:space="preserve"> Planners at Novo Nordisk oversee </w:t>
      </w:r>
      <w:r w:rsidRPr="002660A6">
        <w:rPr>
          <w:b/>
          <w:bCs/>
        </w:rPr>
        <w:t>thousands of SKUs</w:t>
      </w:r>
      <w:r w:rsidRPr="002660A6">
        <w:t xml:space="preserve"> simultaneously across multiple regions. They do not have the time to look at massive dashboards or click through thousands of rows.</w:t>
      </w:r>
    </w:p>
    <w:p w14:paraId="32ED36A7" w14:textId="77777777" w:rsidR="002660A6" w:rsidRPr="002660A6" w:rsidRDefault="002660A6" w:rsidP="002660A6">
      <w:pPr>
        <w:numPr>
          <w:ilvl w:val="0"/>
          <w:numId w:val="3"/>
        </w:numPr>
      </w:pPr>
      <w:r w:rsidRPr="002660A6">
        <w:rPr>
          <w:b/>
          <w:bCs/>
        </w:rPr>
        <w:t>The Noise Problem:</w:t>
      </w:r>
      <w:r w:rsidRPr="002660A6">
        <w:t xml:space="preserve"> Simply flagging every corridor breach generates </w:t>
      </w:r>
      <w:r w:rsidRPr="002660A6">
        <w:rPr>
          <w:b/>
          <w:bCs/>
        </w:rPr>
        <w:t>76,440 weekly alerts</w:t>
      </w:r>
      <w:r w:rsidRPr="002660A6">
        <w:t xml:space="preserve"> (a 29.4% false-breach rate).</w:t>
      </w:r>
    </w:p>
    <w:p w14:paraId="51566BB3" w14:textId="77777777" w:rsidR="002660A6" w:rsidRPr="002660A6" w:rsidRDefault="002660A6" w:rsidP="002660A6">
      <w:pPr>
        <w:numPr>
          <w:ilvl w:val="0"/>
          <w:numId w:val="3"/>
        </w:numPr>
      </w:pPr>
      <w:r w:rsidRPr="002660A6">
        <w:rPr>
          <w:b/>
          <w:bCs/>
        </w:rPr>
        <w:t>The True Value Proposition:</w:t>
      </w:r>
      <w:r w:rsidRPr="002660A6">
        <w:t xml:space="preserve"> The mentors explained that your tool's value is </w:t>
      </w:r>
      <w:r w:rsidRPr="002660A6">
        <w:rPr>
          <w:b/>
          <w:bCs/>
        </w:rPr>
        <w:t>filtering this noise into a high-priority "Strategic Signal"</w:t>
      </w:r>
      <w:r w:rsidRPr="002660A6">
        <w:t>.</w:t>
      </w:r>
    </w:p>
    <w:p w14:paraId="7B6E935B" w14:textId="77777777" w:rsidR="002660A6" w:rsidRPr="002660A6" w:rsidRDefault="002660A6" w:rsidP="002660A6">
      <w:pPr>
        <w:numPr>
          <w:ilvl w:val="0"/>
          <w:numId w:val="3"/>
        </w:numPr>
      </w:pPr>
      <w:r w:rsidRPr="002660A6">
        <w:rPr>
          <w:b/>
          <w:bCs/>
        </w:rPr>
        <w:t>The "Top 10/20" Rule:</w:t>
      </w:r>
      <w:r w:rsidRPr="002660A6">
        <w:t xml:space="preserve"> Ashish and Ravi emphasized that the signaling mechanism must be designed to </w:t>
      </w:r>
      <w:r w:rsidRPr="002660A6">
        <w:rPr>
          <w:b/>
          <w:bCs/>
        </w:rPr>
        <w:t>highlight only the top 10 to 20 critical SKUs</w:t>
      </w:r>
      <w:r w:rsidRPr="002660A6">
        <w:t xml:space="preserve"> requiring immediate action when the planner logs in or receives an email.</w:t>
      </w:r>
    </w:p>
    <w:p w14:paraId="5C180863" w14:textId="77777777" w:rsidR="002660A6" w:rsidRPr="002660A6" w:rsidRDefault="002660A6" w:rsidP="002660A6">
      <w:r w:rsidRPr="002660A6">
        <w:pict w14:anchorId="2DA3BE20">
          <v:rect id="_x0000_i1064" style="width:0;height:1.5pt" o:hralign="center" o:hrstd="t" o:hr="t" fillcolor="#a0a0a0" stroked="f"/>
        </w:pict>
      </w:r>
    </w:p>
    <w:p w14:paraId="2106A166" w14:textId="77777777" w:rsidR="002660A6" w:rsidRPr="002660A6" w:rsidRDefault="002660A6" w:rsidP="002660A6">
      <w:pPr>
        <w:rPr>
          <w:b/>
          <w:bCs/>
        </w:rPr>
      </w:pPr>
      <w:r w:rsidRPr="002660A6">
        <w:rPr>
          <w:b/>
          <w:bCs/>
        </w:rPr>
        <w:t>4. Technical Question-and-Answer Log</w:t>
      </w:r>
    </w:p>
    <w:p w14:paraId="166A7AF5" w14:textId="77777777" w:rsidR="002660A6" w:rsidRPr="002660A6" w:rsidRDefault="002660A6" w:rsidP="002660A6">
      <w:pPr>
        <w:rPr>
          <w:b/>
          <w:bCs/>
        </w:rPr>
      </w:pPr>
      <w:r w:rsidRPr="002660A6">
        <w:rPr>
          <w:b/>
          <w:bCs/>
        </w:rPr>
        <w:t>Category A: Supply Chain Timelines &amp; Lead Times</w:t>
      </w:r>
    </w:p>
    <w:p w14:paraId="0DFBC5A0" w14:textId="77777777" w:rsidR="002660A6" w:rsidRPr="002660A6" w:rsidRDefault="002660A6" w:rsidP="002660A6">
      <w:pPr>
        <w:numPr>
          <w:ilvl w:val="0"/>
          <w:numId w:val="4"/>
        </w:numPr>
      </w:pPr>
      <w:r w:rsidRPr="002660A6">
        <w:rPr>
          <w:b/>
          <w:bCs/>
        </w:rPr>
        <w:t>The Question:</w:t>
      </w:r>
      <w:r w:rsidRPr="002660A6">
        <w:t xml:space="preserve"> How do we model replenishment lead times across different countries, given that lead times are missing from the dataset?</w:t>
      </w:r>
    </w:p>
    <w:p w14:paraId="0ED93C95" w14:textId="77777777" w:rsidR="002660A6" w:rsidRPr="002660A6" w:rsidRDefault="002660A6" w:rsidP="002660A6">
      <w:pPr>
        <w:numPr>
          <w:ilvl w:val="0"/>
          <w:numId w:val="4"/>
        </w:numPr>
      </w:pPr>
      <w:r w:rsidRPr="002660A6">
        <w:rPr>
          <w:b/>
          <w:bCs/>
        </w:rPr>
        <w:t>The Guidance:</w:t>
      </w:r>
      <w:r w:rsidRPr="002660A6">
        <w:t xml:space="preserve"> While deep-sea shipping to distant markets (like China) takes </w:t>
      </w:r>
      <w:r w:rsidRPr="002660A6">
        <w:rPr>
          <w:b/>
          <w:bCs/>
        </w:rPr>
        <w:t>eight to nine months</w:t>
      </w:r>
      <w:r w:rsidRPr="002660A6">
        <w:t xml:space="preserve">, Ravi provided a simplified standard for your prototype: </w:t>
      </w:r>
      <w:r w:rsidRPr="002660A6">
        <w:rPr>
          <w:b/>
          <w:bCs/>
        </w:rPr>
        <w:t>assume a global average lead time of 14 working days</w:t>
      </w:r>
      <w:r w:rsidRPr="002660A6">
        <w:t xml:space="preserve"> for any material shipped to any country.</w:t>
      </w:r>
    </w:p>
    <w:p w14:paraId="3EF5CF1C" w14:textId="77777777" w:rsidR="002660A6" w:rsidRPr="002660A6" w:rsidRDefault="002660A6" w:rsidP="002660A6">
      <w:pPr>
        <w:numPr>
          <w:ilvl w:val="0"/>
          <w:numId w:val="4"/>
        </w:numPr>
      </w:pPr>
      <w:r w:rsidRPr="002660A6">
        <w:rPr>
          <w:b/>
          <w:bCs/>
        </w:rPr>
        <w:t>UI Recommendation:</w:t>
      </w:r>
      <w:r w:rsidRPr="002660A6">
        <w:t xml:space="preserve"> Alternatively, build an administrative settings toggle in your tool where the analyst can </w:t>
      </w:r>
      <w:r w:rsidRPr="002660A6">
        <w:rPr>
          <w:b/>
          <w:bCs/>
        </w:rPr>
        <w:t>dynamically override and configure lead times</w:t>
      </w:r>
      <w:r w:rsidRPr="002660A6">
        <w:t xml:space="preserve"> by market.</w:t>
      </w:r>
    </w:p>
    <w:p w14:paraId="77173ABD" w14:textId="77777777" w:rsidR="002660A6" w:rsidRPr="002660A6" w:rsidRDefault="002660A6" w:rsidP="002660A6">
      <w:pPr>
        <w:rPr>
          <w:b/>
          <w:bCs/>
        </w:rPr>
      </w:pPr>
      <w:r w:rsidRPr="002660A6">
        <w:rPr>
          <w:b/>
          <w:bCs/>
        </w:rPr>
        <w:t>Category B: Corridor Policies &amp; Performance Metrics</w:t>
      </w:r>
    </w:p>
    <w:p w14:paraId="51354F22" w14:textId="77777777" w:rsidR="002660A6" w:rsidRPr="002660A6" w:rsidRDefault="002660A6" w:rsidP="002660A6">
      <w:pPr>
        <w:numPr>
          <w:ilvl w:val="0"/>
          <w:numId w:val="5"/>
        </w:numPr>
      </w:pPr>
      <w:r w:rsidRPr="002660A6">
        <w:rPr>
          <w:b/>
          <w:bCs/>
        </w:rPr>
        <w:t>The Question:</w:t>
      </w:r>
      <w:r w:rsidRPr="002660A6">
        <w:t xml:space="preserve"> How often are inventory corridor bands recalculated, and is there an existing Corridor Health KPI we should reproduce?</w:t>
      </w:r>
    </w:p>
    <w:p w14:paraId="0529A98A" w14:textId="77777777" w:rsidR="002660A6" w:rsidRPr="002660A6" w:rsidRDefault="002660A6" w:rsidP="002660A6">
      <w:pPr>
        <w:numPr>
          <w:ilvl w:val="0"/>
          <w:numId w:val="5"/>
        </w:numPr>
      </w:pPr>
      <w:r w:rsidRPr="002660A6">
        <w:rPr>
          <w:b/>
          <w:bCs/>
        </w:rPr>
        <w:t>The Guidance:</w:t>
      </w:r>
      <w:r w:rsidRPr="002660A6">
        <w:t xml:space="preserve"> In real operations, corridors are reviewed and recalculated every six months based on service-level targets and demand volatility. However, for your 1-year prototype horizon, </w:t>
      </w:r>
      <w:r w:rsidRPr="002660A6">
        <w:rPr>
          <w:b/>
          <w:bCs/>
        </w:rPr>
        <w:t>treat the corridor boundaries as static</w:t>
      </w:r>
      <w:r w:rsidRPr="002660A6">
        <w:t>.</w:t>
      </w:r>
    </w:p>
    <w:p w14:paraId="2A59D2F9" w14:textId="77777777" w:rsidR="002660A6" w:rsidRPr="002660A6" w:rsidRDefault="002660A6" w:rsidP="002660A6">
      <w:pPr>
        <w:numPr>
          <w:ilvl w:val="0"/>
          <w:numId w:val="5"/>
        </w:numPr>
      </w:pPr>
      <w:r w:rsidRPr="002660A6">
        <w:rPr>
          <w:b/>
          <w:bCs/>
        </w:rPr>
        <w:t>The Pioneered KPI Opportunity:</w:t>
      </w:r>
      <w:r w:rsidRPr="002660A6">
        <w:t xml:space="preserve"> Ravi confirmed that </w:t>
      </w:r>
      <w:r w:rsidRPr="002660A6">
        <w:rPr>
          <w:b/>
          <w:bCs/>
        </w:rPr>
        <w:t>no formal Corridor Health KPI currently exists</w:t>
      </w:r>
      <w:r w:rsidRPr="002660A6">
        <w:t xml:space="preserve"> in their reporting suite. Your team is actively exploring and defining this metric, and the mentors are eager to see what formulas you propose to measure corridor adherence over time.</w:t>
      </w:r>
    </w:p>
    <w:p w14:paraId="52FF6B01" w14:textId="77777777" w:rsidR="002660A6" w:rsidRPr="002660A6" w:rsidRDefault="002660A6" w:rsidP="002660A6">
      <w:pPr>
        <w:rPr>
          <w:b/>
          <w:bCs/>
        </w:rPr>
      </w:pPr>
      <w:r w:rsidRPr="002660A6">
        <w:rPr>
          <w:b/>
          <w:bCs/>
        </w:rPr>
        <w:t>Category C: Alert Triggers &amp; Persistence Windows</w:t>
      </w:r>
    </w:p>
    <w:p w14:paraId="2BB8E952" w14:textId="77777777" w:rsidR="002660A6" w:rsidRPr="002660A6" w:rsidRDefault="002660A6" w:rsidP="002660A6">
      <w:pPr>
        <w:numPr>
          <w:ilvl w:val="0"/>
          <w:numId w:val="6"/>
        </w:numPr>
      </w:pPr>
      <w:r w:rsidRPr="002660A6">
        <w:rPr>
          <w:b/>
          <w:bCs/>
        </w:rPr>
        <w:lastRenderedPageBreak/>
        <w:t>The Question:</w:t>
      </w:r>
      <w:r w:rsidRPr="002660A6">
        <w:t xml:space="preserve"> how long must a corridor breach persist before an automated alert is triggered?</w:t>
      </w:r>
    </w:p>
    <w:p w14:paraId="6FDBAE1A" w14:textId="77777777" w:rsidR="002660A6" w:rsidRPr="002660A6" w:rsidRDefault="002660A6" w:rsidP="002660A6">
      <w:pPr>
        <w:numPr>
          <w:ilvl w:val="0"/>
          <w:numId w:val="6"/>
        </w:numPr>
      </w:pPr>
      <w:r w:rsidRPr="002660A6">
        <w:rPr>
          <w:b/>
          <w:bCs/>
        </w:rPr>
        <w:t>The Guidance:</w:t>
      </w:r>
      <w:r w:rsidRPr="002660A6">
        <w:t xml:space="preserve"> To manage planner workload, define severe breaches using realistic business rules. Ravi noted that </w:t>
      </w:r>
      <w:r w:rsidRPr="002660A6">
        <w:rPr>
          <w:b/>
          <w:bCs/>
        </w:rPr>
        <w:t>4 weeks of continuous overstocking</w:t>
      </w:r>
      <w:r w:rsidRPr="002660A6">
        <w:t xml:space="preserve"> and </w:t>
      </w:r>
      <w:r w:rsidRPr="002660A6">
        <w:rPr>
          <w:b/>
          <w:bCs/>
        </w:rPr>
        <w:t>5 weeks of continuous understocking</w:t>
      </w:r>
      <w:r w:rsidRPr="002660A6">
        <w:t xml:space="preserve"> (below the safety stock floor) represent severe thresholds in their operations.</w:t>
      </w:r>
    </w:p>
    <w:p w14:paraId="59B307F1" w14:textId="77777777" w:rsidR="002660A6" w:rsidRPr="002660A6" w:rsidRDefault="002660A6" w:rsidP="002660A6">
      <w:pPr>
        <w:numPr>
          <w:ilvl w:val="0"/>
          <w:numId w:val="6"/>
        </w:numPr>
      </w:pPr>
      <w:r w:rsidRPr="002660A6">
        <w:rPr>
          <w:b/>
          <w:bCs/>
        </w:rPr>
        <w:t>System Action:</w:t>
      </w:r>
      <w:r w:rsidRPr="002660A6">
        <w:t xml:space="preserve"> Make these trigger windows </w:t>
      </w:r>
      <w:r w:rsidRPr="002660A6">
        <w:rPr>
          <w:b/>
          <w:bCs/>
        </w:rPr>
        <w:t>user-configurable parameters</w:t>
      </w:r>
      <w:r w:rsidRPr="002660A6">
        <w:t xml:space="preserve"> within your prototype’s settings panel rather than hardcoding them.</w:t>
      </w:r>
    </w:p>
    <w:p w14:paraId="444482FD" w14:textId="77777777" w:rsidR="002660A6" w:rsidRPr="002660A6" w:rsidRDefault="002660A6" w:rsidP="002660A6">
      <w:pPr>
        <w:rPr>
          <w:b/>
          <w:bCs/>
        </w:rPr>
      </w:pPr>
      <w:r w:rsidRPr="002660A6">
        <w:rPr>
          <w:b/>
          <w:bCs/>
        </w:rPr>
        <w:t>Category D: Order Pipeline, Supply, &amp; Constraints</w:t>
      </w:r>
    </w:p>
    <w:p w14:paraId="136206F8" w14:textId="77777777" w:rsidR="002660A6" w:rsidRPr="002660A6" w:rsidRDefault="002660A6" w:rsidP="002660A6">
      <w:pPr>
        <w:numPr>
          <w:ilvl w:val="0"/>
          <w:numId w:val="7"/>
        </w:numPr>
      </w:pPr>
      <w:r w:rsidRPr="002660A6">
        <w:rPr>
          <w:b/>
          <w:bCs/>
        </w:rPr>
        <w:t>The Question:</w:t>
      </w:r>
      <w:r w:rsidRPr="002660A6">
        <w:t xml:space="preserve"> Why does total supply not equal the sum of the order pipeline stages (confirmed, packed, in-transit)?</w:t>
      </w:r>
    </w:p>
    <w:p w14:paraId="32B21084" w14:textId="77777777" w:rsidR="002660A6" w:rsidRPr="002660A6" w:rsidRDefault="002660A6" w:rsidP="002660A6">
      <w:pPr>
        <w:numPr>
          <w:ilvl w:val="0"/>
          <w:numId w:val="7"/>
        </w:numPr>
      </w:pPr>
      <w:r w:rsidRPr="002660A6">
        <w:rPr>
          <w:b/>
          <w:bCs/>
        </w:rPr>
        <w:t>The Guidance:</w:t>
      </w:r>
      <w:r w:rsidRPr="002660A6">
        <w:t xml:space="preserve"> Ravi explained that "supply" and "orders" differ because supply represents a blend of internal manufacturing runs and external sourcing purchases.</w:t>
      </w:r>
    </w:p>
    <w:p w14:paraId="7430692C" w14:textId="77777777" w:rsidR="002660A6" w:rsidRPr="002660A6" w:rsidRDefault="002660A6" w:rsidP="002660A6">
      <w:pPr>
        <w:numPr>
          <w:ilvl w:val="0"/>
          <w:numId w:val="7"/>
        </w:numPr>
      </w:pPr>
      <w:r w:rsidRPr="002660A6">
        <w:rPr>
          <w:b/>
          <w:bCs/>
        </w:rPr>
        <w:t>Order Constraints (MOQs):</w:t>
      </w:r>
      <w:r w:rsidRPr="002660A6">
        <w:t xml:space="preserve"> Your team asked how to factor in Minimum Order Quantities (MOQs) or batch sizes to make recommendations actionable. </w:t>
      </w:r>
      <w:r w:rsidRPr="002660A6">
        <w:rPr>
          <w:b/>
          <w:bCs/>
        </w:rPr>
        <w:t>Ravi directed your team to completely ignore MOQs</w:t>
      </w:r>
      <w:r w:rsidRPr="002660A6">
        <w:t>. In their planning system, replenishment data is already "post-constraint," meaning any supply figures shown have already met all sizing constraints. Your recommendation engine can propose raw, exact shortage quantities without any complex rounding.</w:t>
      </w:r>
    </w:p>
    <w:p w14:paraId="003FB94B" w14:textId="77777777" w:rsidR="002660A6" w:rsidRPr="002660A6" w:rsidRDefault="002660A6" w:rsidP="002660A6">
      <w:pPr>
        <w:rPr>
          <w:b/>
          <w:bCs/>
        </w:rPr>
      </w:pPr>
      <w:r w:rsidRPr="002660A6">
        <w:rPr>
          <w:b/>
          <w:bCs/>
        </w:rPr>
        <w:t>Category E: Safety Stock Floors &amp; Material Stability</w:t>
      </w:r>
    </w:p>
    <w:p w14:paraId="27B432E9" w14:textId="77777777" w:rsidR="002660A6" w:rsidRPr="002660A6" w:rsidRDefault="002660A6" w:rsidP="002660A6">
      <w:pPr>
        <w:numPr>
          <w:ilvl w:val="0"/>
          <w:numId w:val="8"/>
        </w:numPr>
      </w:pPr>
      <w:r w:rsidRPr="002660A6">
        <w:rPr>
          <w:b/>
          <w:bCs/>
        </w:rPr>
        <w:t>The Question:</w:t>
      </w:r>
      <w:r w:rsidRPr="002660A6">
        <w:t xml:space="preserve"> Why does safety stock days vary dynamically (from 10 to 91 days across 12 distinct values) within a single product series?</w:t>
      </w:r>
    </w:p>
    <w:p w14:paraId="4711E51E" w14:textId="77777777" w:rsidR="002660A6" w:rsidRPr="002660A6" w:rsidRDefault="002660A6" w:rsidP="002660A6">
      <w:pPr>
        <w:numPr>
          <w:ilvl w:val="0"/>
          <w:numId w:val="8"/>
        </w:numPr>
      </w:pPr>
      <w:r w:rsidRPr="002660A6">
        <w:rPr>
          <w:b/>
          <w:bCs/>
        </w:rPr>
        <w:t>The Guidance:</w:t>
      </w:r>
      <w:r w:rsidRPr="002660A6">
        <w:t xml:space="preserve"> The mentors confirmed this is normal and expected. Safety stock parameters are set differently based on the specific material type and warehouse location, which naturally adjust across the horizon. Your projection engine must treat safety stock as a </w:t>
      </w:r>
      <w:r w:rsidRPr="002660A6">
        <w:rPr>
          <w:b/>
          <w:bCs/>
        </w:rPr>
        <w:t>dynamic time-series array</w:t>
      </w:r>
      <w:r w:rsidRPr="002660A6">
        <w:t xml:space="preserve"> rather than a flat, constant number.</w:t>
      </w:r>
    </w:p>
    <w:p w14:paraId="148F9B46" w14:textId="77777777" w:rsidR="002660A6" w:rsidRPr="002660A6" w:rsidRDefault="002660A6" w:rsidP="002660A6">
      <w:pPr>
        <w:numPr>
          <w:ilvl w:val="0"/>
          <w:numId w:val="8"/>
        </w:numPr>
      </w:pPr>
      <w:r w:rsidRPr="002660A6">
        <w:rPr>
          <w:b/>
          <w:bCs/>
        </w:rPr>
        <w:t>Shelf Life &amp; Expiry:</w:t>
      </w:r>
      <w:r w:rsidRPr="002660A6">
        <w:t xml:space="preserve"> Avila asked if they should model product expiration risks. </w:t>
      </w:r>
      <w:r w:rsidRPr="002660A6">
        <w:rPr>
          <w:b/>
          <w:bCs/>
        </w:rPr>
        <w:t>The mentors directed your team to ignore shelf life and expiry</w:t>
      </w:r>
      <w:r w:rsidRPr="002660A6">
        <w:t xml:space="preserve">. High-value injections have an incredibly stable shelf life of </w:t>
      </w:r>
      <w:r w:rsidRPr="002660A6">
        <w:rPr>
          <w:b/>
          <w:bCs/>
        </w:rPr>
        <w:t>3 to 5 years</w:t>
      </w:r>
      <w:r w:rsidRPr="002660A6">
        <w:t>, making expiry a non-issue within your 1-year projection window.</w:t>
      </w:r>
    </w:p>
    <w:p w14:paraId="64448B11" w14:textId="77777777" w:rsidR="002660A6" w:rsidRPr="002660A6" w:rsidRDefault="002660A6" w:rsidP="002660A6">
      <w:pPr>
        <w:rPr>
          <w:b/>
          <w:bCs/>
        </w:rPr>
      </w:pPr>
      <w:r w:rsidRPr="002660A6">
        <w:rPr>
          <w:b/>
          <w:bCs/>
        </w:rPr>
        <w:t>Category F: Target Audience &amp; Tech Constraints</w:t>
      </w:r>
    </w:p>
    <w:p w14:paraId="349805AF" w14:textId="77777777" w:rsidR="002660A6" w:rsidRPr="002660A6" w:rsidRDefault="002660A6" w:rsidP="002660A6">
      <w:pPr>
        <w:numPr>
          <w:ilvl w:val="0"/>
          <w:numId w:val="9"/>
        </w:numPr>
      </w:pPr>
      <w:r w:rsidRPr="002660A6">
        <w:rPr>
          <w:b/>
          <w:bCs/>
        </w:rPr>
        <w:lastRenderedPageBreak/>
        <w:t>The Question:</w:t>
      </w:r>
      <w:r w:rsidRPr="002660A6">
        <w:t xml:space="preserve"> Who is the target user of this platform, and what hosting environment is preferred?</w:t>
      </w:r>
    </w:p>
    <w:p w14:paraId="471EE3BD" w14:textId="77777777" w:rsidR="002660A6" w:rsidRPr="002660A6" w:rsidRDefault="002660A6" w:rsidP="002660A6">
      <w:pPr>
        <w:numPr>
          <w:ilvl w:val="0"/>
          <w:numId w:val="9"/>
        </w:numPr>
      </w:pPr>
      <w:r w:rsidRPr="002660A6">
        <w:rPr>
          <w:b/>
          <w:bCs/>
        </w:rPr>
        <w:t>The Guidance:</w:t>
      </w:r>
      <w:r w:rsidRPr="002660A6">
        <w:t xml:space="preserve"> The primary user of your tool is the </w:t>
      </w:r>
      <w:r w:rsidRPr="002660A6">
        <w:rPr>
          <w:b/>
          <w:bCs/>
        </w:rPr>
        <w:t>Inventory Analyst</w:t>
      </w:r>
      <w:r w:rsidRPr="002660A6">
        <w:t>.</w:t>
      </w:r>
    </w:p>
    <w:p w14:paraId="0713A959" w14:textId="77777777" w:rsidR="002660A6" w:rsidRPr="002660A6" w:rsidRDefault="002660A6" w:rsidP="002660A6">
      <w:pPr>
        <w:numPr>
          <w:ilvl w:val="0"/>
          <w:numId w:val="9"/>
        </w:numPr>
      </w:pPr>
      <w:r w:rsidRPr="002660A6">
        <w:rPr>
          <w:b/>
          <w:bCs/>
        </w:rPr>
        <w:t>Delivery Channel:</w:t>
      </w:r>
      <w:r w:rsidRPr="002660A6">
        <w:t xml:space="preserve"> The preferred alert channel is direct </w:t>
      </w:r>
      <w:r w:rsidRPr="002660A6">
        <w:rPr>
          <w:b/>
          <w:bCs/>
        </w:rPr>
        <w:t>email notifications</w:t>
      </w:r>
      <w:r w:rsidRPr="002660A6">
        <w:t xml:space="preserve"> containing the prioritized list of exceptions.</w:t>
      </w:r>
    </w:p>
    <w:p w14:paraId="18546D16" w14:textId="77777777" w:rsidR="002660A6" w:rsidRPr="002660A6" w:rsidRDefault="002660A6" w:rsidP="002660A6">
      <w:pPr>
        <w:numPr>
          <w:ilvl w:val="0"/>
          <w:numId w:val="9"/>
        </w:numPr>
      </w:pPr>
      <w:r w:rsidRPr="002660A6">
        <w:rPr>
          <w:b/>
          <w:bCs/>
        </w:rPr>
        <w:t>Tech Stack Autonomy:</w:t>
      </w:r>
      <w:r w:rsidRPr="002660A6">
        <w:t xml:space="preserve"> Do not worry about internal cloud compliance or server integrations. Your system must be a </w:t>
      </w:r>
      <w:r w:rsidRPr="002660A6">
        <w:rPr>
          <w:b/>
          <w:bCs/>
        </w:rPr>
        <w:t>standalone, data-source agnostic prototype</w:t>
      </w:r>
      <w:r w:rsidRPr="002660A6">
        <w:t xml:space="preserve"> that can run locally or via Excel file uploads.</w:t>
      </w:r>
    </w:p>
    <w:p w14:paraId="79E9AFD8" w14:textId="77777777" w:rsidR="002660A6" w:rsidRPr="002660A6" w:rsidRDefault="002660A6" w:rsidP="002660A6">
      <w:r w:rsidRPr="002660A6">
        <w:pict w14:anchorId="7DC1A517">
          <v:rect id="_x0000_i1065" style="width:0;height:1.5pt" o:hralign="center" o:hrstd="t" o:hr="t" fillcolor="#a0a0a0" stroked="f"/>
        </w:pict>
      </w:r>
    </w:p>
    <w:p w14:paraId="150BDCEB" w14:textId="77777777" w:rsidR="002660A6" w:rsidRPr="002660A6" w:rsidRDefault="002660A6" w:rsidP="002660A6">
      <w:pPr>
        <w:rPr>
          <w:b/>
          <w:bCs/>
        </w:rPr>
      </w:pPr>
      <w:r w:rsidRPr="002660A6">
        <w:rPr>
          <w:b/>
          <w:bCs/>
        </w:rPr>
        <w:t>5. Summary of Scope Impact on Your Code Design</w:t>
      </w:r>
    </w:p>
    <w:p w14:paraId="0326E922" w14:textId="77777777" w:rsidR="002660A6" w:rsidRPr="002660A6" w:rsidRDefault="002660A6" w:rsidP="002660A6">
      <w:r w:rsidRPr="002660A6">
        <w:t>To deliver a highly polished tool that perfectly matches the mentors' expectations, adjust your python scripts and model parameters as follows:</w:t>
      </w:r>
    </w:p>
    <w:p w14:paraId="06CA74F4" w14:textId="77777777" w:rsidR="002660A6" w:rsidRPr="002660A6" w:rsidRDefault="002660A6" w:rsidP="002660A6">
      <w:pPr>
        <w:numPr>
          <w:ilvl w:val="0"/>
          <w:numId w:val="10"/>
        </w:numPr>
      </w:pPr>
      <w:r w:rsidRPr="002660A6">
        <w:rPr>
          <w:b/>
          <w:bCs/>
        </w:rPr>
        <w:t>Hardcode Default Parameters (with Override Toggles):</w:t>
      </w:r>
      <w:r w:rsidRPr="002660A6">
        <w:t xml:space="preserve"> Set your global lead time default to 14 working days. Set your overstock trigger to 4 weeks and understock trigger to 5 weeks. Ensure these are variables that your UI settings panel can dynamically override.</w:t>
      </w:r>
    </w:p>
    <w:p w14:paraId="1FF55F94" w14:textId="77777777" w:rsidR="002660A6" w:rsidRPr="002660A6" w:rsidRDefault="002660A6" w:rsidP="002660A6">
      <w:pPr>
        <w:numPr>
          <w:ilvl w:val="0"/>
          <w:numId w:val="10"/>
        </w:numPr>
      </w:pPr>
      <w:r w:rsidRPr="002660A6">
        <w:rPr>
          <w:b/>
          <w:bCs/>
        </w:rPr>
        <w:t>Filter and Rank Alerts:</w:t>
      </w:r>
      <w:r w:rsidRPr="002660A6">
        <w:t xml:space="preserve"> Do not display a flat list of all breaches. Apply your reverse-engineered </w:t>
      </w:r>
      <w:r w:rsidRPr="002660A6">
        <w:rPr>
          <w:b/>
          <w:bCs/>
        </w:rPr>
        <w:t>Days on Hand ÷ Safety Stock Days ratio</w:t>
      </w:r>
      <w:r w:rsidRPr="002660A6">
        <w:t xml:space="preserve"> to sort and rank alerts, displaying </w:t>
      </w:r>
      <w:r w:rsidRPr="002660A6">
        <w:rPr>
          <w:b/>
          <w:bCs/>
        </w:rPr>
        <w:t>only the top 10–20 critical SKU risks</w:t>
      </w:r>
      <w:r w:rsidRPr="002660A6">
        <w:t xml:space="preserve"> to protect the planner from alert fatigue.</w:t>
      </w:r>
    </w:p>
    <w:p w14:paraId="23607E4F" w14:textId="77777777" w:rsidR="002660A6" w:rsidRPr="002660A6" w:rsidRDefault="002660A6" w:rsidP="002660A6">
      <w:pPr>
        <w:numPr>
          <w:ilvl w:val="0"/>
          <w:numId w:val="10"/>
        </w:numPr>
      </w:pPr>
      <w:r w:rsidRPr="002660A6">
        <w:rPr>
          <w:b/>
          <w:bCs/>
        </w:rPr>
        <w:t>Propose Exact Mitigation Quantities:</w:t>
      </w:r>
      <w:r w:rsidRPr="002660A6">
        <w:t xml:space="preserve"> Since MOQs are resolved, your recommendation logic can cleanly calculate: </w:t>
      </w:r>
      <w:proofErr w:type="gramStart"/>
      <w:r w:rsidRPr="002660A6">
        <w:t>\[</w:t>
      </w:r>
      <w:proofErr w:type="gramEnd"/>
      <w:r w:rsidRPr="002660A6">
        <w:t>\</w:t>
      </w:r>
      <w:proofErr w:type="gramStart"/>
      <w:r w:rsidRPr="002660A6">
        <w:t>text{</w:t>
      </w:r>
      <w:proofErr w:type="gramEnd"/>
      <w:r w:rsidRPr="002660A6">
        <w:t>Recommended Order Qty} = \</w:t>
      </w:r>
      <w:proofErr w:type="gramStart"/>
      <w:r w:rsidRPr="002660A6">
        <w:t>text{</w:t>
      </w:r>
      <w:proofErr w:type="gramEnd"/>
      <w:r w:rsidRPr="002660A6">
        <w:t>Corridor Midpoint} - \</w:t>
      </w:r>
      <w:proofErr w:type="gramStart"/>
      <w:r w:rsidRPr="002660A6">
        <w:t>text{</w:t>
      </w:r>
      <w:proofErr w:type="gramEnd"/>
      <w:r w:rsidRPr="002660A6">
        <w:t xml:space="preserve">Projected </w:t>
      </w:r>
      <w:proofErr w:type="gramStart"/>
      <w:r w:rsidRPr="002660A6">
        <w:t>Inventory}\</w:t>
      </w:r>
      <w:proofErr w:type="gramEnd"/>
      <w:r w:rsidRPr="002660A6">
        <w:t>] at the lead-time boundary, without needing complex rounding algorithms.</w:t>
      </w:r>
    </w:p>
    <w:p w14:paraId="47DA6737" w14:textId="77777777" w:rsidR="002660A6" w:rsidRPr="002660A6" w:rsidRDefault="002660A6" w:rsidP="002660A6">
      <w:pPr>
        <w:numPr>
          <w:ilvl w:val="0"/>
          <w:numId w:val="10"/>
        </w:numPr>
      </w:pPr>
      <w:r w:rsidRPr="002660A6">
        <w:rPr>
          <w:b/>
          <w:bCs/>
        </w:rPr>
        <w:t>Draft a Mock Email Template:</w:t>
      </w:r>
      <w:r w:rsidRPr="002660A6">
        <w:t xml:space="preserve"> In your final UI delivery layer, include a function that simulates the "planner's inbox" by auto-generating a mock email alerting them of the week's top critical risks.</w:t>
      </w:r>
    </w:p>
    <w:p w14:paraId="20B68841" w14:textId="77777777" w:rsidR="002660A6" w:rsidRPr="002660A6" w:rsidRDefault="002660A6" w:rsidP="002660A6">
      <w:r w:rsidRPr="002660A6">
        <w:pict w14:anchorId="08E770E6">
          <v:rect id="_x0000_i1066" style="width:0;height:1.5pt" o:hralign="center" o:hrstd="t" o:hr="t" fillcolor="#a0a0a0" stroked="f"/>
        </w:pict>
      </w:r>
    </w:p>
    <w:p w14:paraId="27FA178E" w14:textId="77777777" w:rsidR="001A1DC9" w:rsidRPr="001A1DC9" w:rsidRDefault="001A1DC9" w:rsidP="001A1DC9">
      <w:r w:rsidRPr="001A1DC9">
        <w:t>Technical Resolution Matrix</w:t>
      </w:r>
    </w:p>
    <w:tbl>
      <w:tblPr>
        <w:tblW w:w="0" w:type="auto"/>
        <w:tblCellMar>
          <w:top w:w="15" w:type="dxa"/>
          <w:left w:w="15" w:type="dxa"/>
          <w:bottom w:w="15" w:type="dxa"/>
          <w:right w:w="15" w:type="dxa"/>
        </w:tblCellMar>
        <w:tblLook w:val="04A0" w:firstRow="1" w:lastRow="0" w:firstColumn="1" w:lastColumn="0" w:noHBand="0" w:noVBand="1"/>
      </w:tblPr>
      <w:tblGrid>
        <w:gridCol w:w="1939"/>
        <w:gridCol w:w="1518"/>
        <w:gridCol w:w="3135"/>
        <w:gridCol w:w="2768"/>
      </w:tblGrid>
      <w:tr w:rsidR="001A1DC9" w:rsidRPr="001A1DC9" w14:paraId="341373EC" w14:textId="77777777">
        <w:tc>
          <w:tcPr>
            <w:tcW w:w="0" w:type="auto"/>
            <w:hideMark/>
          </w:tcPr>
          <w:p w14:paraId="40665D68" w14:textId="77777777" w:rsidR="001A1DC9" w:rsidRPr="001A1DC9" w:rsidRDefault="001A1DC9" w:rsidP="001A1DC9">
            <w:pPr>
              <w:rPr>
                <w:b/>
                <w:bCs/>
              </w:rPr>
            </w:pPr>
            <w:r w:rsidRPr="001A1DC9">
              <w:rPr>
                <w:b/>
                <w:bCs/>
              </w:rPr>
              <w:t>Technical Query</w:t>
            </w:r>
          </w:p>
        </w:tc>
        <w:tc>
          <w:tcPr>
            <w:tcW w:w="0" w:type="auto"/>
            <w:hideMark/>
          </w:tcPr>
          <w:p w14:paraId="321A28D0" w14:textId="77777777" w:rsidR="001A1DC9" w:rsidRPr="001A1DC9" w:rsidRDefault="001A1DC9" w:rsidP="001A1DC9">
            <w:pPr>
              <w:rPr>
                <w:b/>
                <w:bCs/>
              </w:rPr>
            </w:pPr>
            <w:r w:rsidRPr="001A1DC9">
              <w:rPr>
                <w:b/>
                <w:bCs/>
              </w:rPr>
              <w:t>Resolution Type</w:t>
            </w:r>
          </w:p>
        </w:tc>
        <w:tc>
          <w:tcPr>
            <w:tcW w:w="0" w:type="auto"/>
            <w:hideMark/>
          </w:tcPr>
          <w:p w14:paraId="309C78B9" w14:textId="77777777" w:rsidR="001A1DC9" w:rsidRPr="001A1DC9" w:rsidRDefault="001A1DC9" w:rsidP="001A1DC9">
            <w:pPr>
              <w:rPr>
                <w:b/>
                <w:bCs/>
              </w:rPr>
            </w:pPr>
            <w:r w:rsidRPr="001A1DC9">
              <w:rPr>
                <w:b/>
                <w:bCs/>
              </w:rPr>
              <w:t>Decision / Resolution</w:t>
            </w:r>
          </w:p>
        </w:tc>
        <w:tc>
          <w:tcPr>
            <w:tcW w:w="0" w:type="auto"/>
            <w:hideMark/>
          </w:tcPr>
          <w:p w14:paraId="7DD01DC8" w14:textId="77777777" w:rsidR="001A1DC9" w:rsidRPr="001A1DC9" w:rsidRDefault="001A1DC9" w:rsidP="001A1DC9">
            <w:pPr>
              <w:rPr>
                <w:b/>
                <w:bCs/>
              </w:rPr>
            </w:pPr>
            <w:r w:rsidRPr="001A1DC9">
              <w:rPr>
                <w:b/>
                <w:bCs/>
              </w:rPr>
              <w:t>Architectural Impact</w:t>
            </w:r>
          </w:p>
        </w:tc>
      </w:tr>
      <w:tr w:rsidR="001A1DC9" w:rsidRPr="001A1DC9" w14:paraId="72A4F898" w14:textId="77777777">
        <w:tc>
          <w:tcPr>
            <w:tcW w:w="0" w:type="auto"/>
            <w:hideMark/>
          </w:tcPr>
          <w:p w14:paraId="6952FEB9" w14:textId="77777777" w:rsidR="001A1DC9" w:rsidRPr="001A1DC9" w:rsidRDefault="001A1DC9" w:rsidP="001A1DC9">
            <w:r w:rsidRPr="001A1DC9">
              <w:rPr>
                <w:b/>
                <w:bCs/>
              </w:rPr>
              <w:lastRenderedPageBreak/>
              <w:t>Replenishment Lead Time</w:t>
            </w:r>
          </w:p>
        </w:tc>
        <w:tc>
          <w:tcPr>
            <w:tcW w:w="0" w:type="auto"/>
            <w:hideMark/>
          </w:tcPr>
          <w:p w14:paraId="3002DED1" w14:textId="77777777" w:rsidR="001A1DC9" w:rsidRPr="001A1DC9" w:rsidRDefault="001A1DC9" w:rsidP="001A1DC9">
            <w:r w:rsidRPr="001A1DC9">
              <w:rPr>
                <w:b/>
                <w:bCs/>
              </w:rPr>
              <w:t>Team Assumption</w:t>
            </w:r>
          </w:p>
        </w:tc>
        <w:tc>
          <w:tcPr>
            <w:tcW w:w="0" w:type="auto"/>
            <w:hideMark/>
          </w:tcPr>
          <w:p w14:paraId="792AC912" w14:textId="77777777" w:rsidR="001A1DC9" w:rsidRPr="001A1DC9" w:rsidRDefault="001A1DC9" w:rsidP="001A1DC9">
            <w:r w:rsidRPr="001A1DC9">
              <w:t>Assume 14 working days average or treat as a user-set parameter.</w:t>
            </w:r>
          </w:p>
        </w:tc>
        <w:tc>
          <w:tcPr>
            <w:tcW w:w="0" w:type="auto"/>
            <w:hideMark/>
          </w:tcPr>
          <w:p w14:paraId="7970ACE0" w14:textId="77777777" w:rsidR="001A1DC9" w:rsidRPr="001A1DC9" w:rsidRDefault="001A1DC9" w:rsidP="001A1DC9">
            <w:r w:rsidRPr="001A1DC9">
              <w:t>Defines the "Actionable Warning" window for intervention.</w:t>
            </w:r>
          </w:p>
        </w:tc>
      </w:tr>
      <w:tr w:rsidR="001A1DC9" w:rsidRPr="001A1DC9" w14:paraId="5ECE30DD" w14:textId="77777777">
        <w:tc>
          <w:tcPr>
            <w:tcW w:w="0" w:type="auto"/>
            <w:hideMark/>
          </w:tcPr>
          <w:p w14:paraId="3DE1DCB9" w14:textId="77777777" w:rsidR="001A1DC9" w:rsidRPr="001A1DC9" w:rsidRDefault="001A1DC9" w:rsidP="001A1DC9">
            <w:r w:rsidRPr="001A1DC9">
              <w:rPr>
                <w:b/>
                <w:bCs/>
              </w:rPr>
              <w:t>Corridor Policy &amp; Review</w:t>
            </w:r>
          </w:p>
        </w:tc>
        <w:tc>
          <w:tcPr>
            <w:tcW w:w="0" w:type="auto"/>
            <w:hideMark/>
          </w:tcPr>
          <w:p w14:paraId="1CDD88A4" w14:textId="77777777" w:rsidR="001A1DC9" w:rsidRPr="001A1DC9" w:rsidRDefault="001A1DC9" w:rsidP="001A1DC9">
            <w:r w:rsidRPr="001A1DC9">
              <w:rPr>
                <w:b/>
                <w:bCs/>
              </w:rPr>
              <w:t>Mentor Resolution</w:t>
            </w:r>
          </w:p>
        </w:tc>
        <w:tc>
          <w:tcPr>
            <w:tcW w:w="0" w:type="auto"/>
            <w:hideMark/>
          </w:tcPr>
          <w:p w14:paraId="79CFB079" w14:textId="77777777" w:rsidR="001A1DC9" w:rsidRPr="001A1DC9" w:rsidRDefault="001A1DC9" w:rsidP="001A1DC9">
            <w:r w:rsidRPr="001A1DC9">
              <w:t>Implement a 6-month review cycle/static 1-year planning horizon.</w:t>
            </w:r>
          </w:p>
        </w:tc>
        <w:tc>
          <w:tcPr>
            <w:tcW w:w="0" w:type="auto"/>
            <w:hideMark/>
          </w:tcPr>
          <w:p w14:paraId="2FB21B4D" w14:textId="77777777" w:rsidR="001A1DC9" w:rsidRPr="001A1DC9" w:rsidRDefault="001A1DC9" w:rsidP="001A1DC9">
            <w:r w:rsidRPr="001A1DC9">
              <w:t>Ensures stability in the Signal Engine and prevents threshold oscillation.</w:t>
            </w:r>
          </w:p>
        </w:tc>
      </w:tr>
      <w:tr w:rsidR="001A1DC9" w:rsidRPr="001A1DC9" w14:paraId="0E8EF401" w14:textId="77777777">
        <w:tc>
          <w:tcPr>
            <w:tcW w:w="0" w:type="auto"/>
            <w:hideMark/>
          </w:tcPr>
          <w:p w14:paraId="27356A99" w14:textId="77777777" w:rsidR="001A1DC9" w:rsidRPr="001A1DC9" w:rsidRDefault="001A1DC9" w:rsidP="001A1DC9">
            <w:r w:rsidRPr="001A1DC9">
              <w:rPr>
                <w:b/>
                <w:bCs/>
              </w:rPr>
              <w:t>Signal Capture &amp; Filtering</w:t>
            </w:r>
          </w:p>
        </w:tc>
        <w:tc>
          <w:tcPr>
            <w:tcW w:w="0" w:type="auto"/>
            <w:hideMark/>
          </w:tcPr>
          <w:p w14:paraId="47474107" w14:textId="77777777" w:rsidR="001A1DC9" w:rsidRPr="001A1DC9" w:rsidRDefault="001A1DC9" w:rsidP="001A1DC9">
            <w:r w:rsidRPr="001A1DC9">
              <w:rPr>
                <w:b/>
                <w:bCs/>
              </w:rPr>
              <w:t>Mentor Resolution</w:t>
            </w:r>
          </w:p>
        </w:tc>
        <w:tc>
          <w:tcPr>
            <w:tcW w:w="0" w:type="auto"/>
            <w:hideMark/>
          </w:tcPr>
          <w:p w14:paraId="13969465" w14:textId="77777777" w:rsidR="001A1DC9" w:rsidRPr="001A1DC9" w:rsidRDefault="001A1DC9" w:rsidP="001A1DC9">
            <w:r w:rsidRPr="001A1DC9">
              <w:t>Focus exclusively on the top 10–20 high-impact SKUs.</w:t>
            </w:r>
          </w:p>
        </w:tc>
        <w:tc>
          <w:tcPr>
            <w:tcW w:w="0" w:type="auto"/>
            <w:hideMark/>
          </w:tcPr>
          <w:p w14:paraId="12C79AEB" w14:textId="77777777" w:rsidR="001A1DC9" w:rsidRPr="001A1DC9" w:rsidRDefault="001A1DC9" w:rsidP="001A1DC9">
            <w:r w:rsidRPr="001A1DC9">
              <w:t>Suppresses "inbox noise" and focuses analyst attention on high-impact risks.</w:t>
            </w:r>
          </w:p>
        </w:tc>
      </w:tr>
      <w:tr w:rsidR="001A1DC9" w:rsidRPr="001A1DC9" w14:paraId="59BA87FD" w14:textId="77777777">
        <w:tc>
          <w:tcPr>
            <w:tcW w:w="0" w:type="auto"/>
            <w:hideMark/>
          </w:tcPr>
          <w:p w14:paraId="1D337A8B" w14:textId="77777777" w:rsidR="001A1DC9" w:rsidRPr="001A1DC9" w:rsidRDefault="001A1DC9" w:rsidP="001A1DC9">
            <w:r w:rsidRPr="001A1DC9">
              <w:rPr>
                <w:b/>
                <w:bCs/>
              </w:rPr>
              <w:t>Alerting Thresholds</w:t>
            </w:r>
          </w:p>
        </w:tc>
        <w:tc>
          <w:tcPr>
            <w:tcW w:w="0" w:type="auto"/>
            <w:hideMark/>
          </w:tcPr>
          <w:p w14:paraId="5AF0F877" w14:textId="77777777" w:rsidR="001A1DC9" w:rsidRPr="001A1DC9" w:rsidRDefault="001A1DC9" w:rsidP="001A1DC9">
            <w:r w:rsidRPr="001A1DC9">
              <w:rPr>
                <w:b/>
                <w:bCs/>
              </w:rPr>
              <w:t>Team Parameter</w:t>
            </w:r>
          </w:p>
        </w:tc>
        <w:tc>
          <w:tcPr>
            <w:tcW w:w="0" w:type="auto"/>
            <w:hideMark/>
          </w:tcPr>
          <w:p w14:paraId="6978E27E" w14:textId="77777777" w:rsidR="001A1DC9" w:rsidRPr="001A1DC9" w:rsidRDefault="001A1DC9" w:rsidP="001A1DC9">
            <w:r w:rsidRPr="001A1DC9">
              <w:t>Configurable defaults: 4 weeks for overstock; 5 weeks for understock.</w:t>
            </w:r>
          </w:p>
        </w:tc>
        <w:tc>
          <w:tcPr>
            <w:tcW w:w="0" w:type="auto"/>
            <w:hideMark/>
          </w:tcPr>
          <w:p w14:paraId="5D95DFE0" w14:textId="77777777" w:rsidR="001A1DC9" w:rsidRPr="001A1DC9" w:rsidRDefault="001A1DC9" w:rsidP="001A1DC9">
            <w:r w:rsidRPr="001A1DC9">
              <w:t>Establishes persistence and hysteresis rules to prevent redundant alerts.</w:t>
            </w:r>
          </w:p>
        </w:tc>
      </w:tr>
      <w:tr w:rsidR="001A1DC9" w:rsidRPr="001A1DC9" w14:paraId="01B049BE" w14:textId="77777777">
        <w:tc>
          <w:tcPr>
            <w:tcW w:w="0" w:type="auto"/>
            <w:hideMark/>
          </w:tcPr>
          <w:p w14:paraId="63FFD92A" w14:textId="77777777" w:rsidR="001A1DC9" w:rsidRPr="001A1DC9" w:rsidRDefault="001A1DC9" w:rsidP="001A1DC9">
            <w:r w:rsidRPr="001A1DC9">
              <w:rPr>
                <w:b/>
                <w:bCs/>
              </w:rPr>
              <w:t>Order Pipeline &amp; Supply</w:t>
            </w:r>
          </w:p>
        </w:tc>
        <w:tc>
          <w:tcPr>
            <w:tcW w:w="0" w:type="auto"/>
            <w:hideMark/>
          </w:tcPr>
          <w:p w14:paraId="693AFB71" w14:textId="77777777" w:rsidR="001A1DC9" w:rsidRPr="001A1DC9" w:rsidRDefault="001A1DC9" w:rsidP="001A1DC9">
            <w:r w:rsidRPr="001A1DC9">
              <w:rPr>
                <w:b/>
                <w:bCs/>
              </w:rPr>
              <w:t>Mentor Resolution</w:t>
            </w:r>
          </w:p>
        </w:tc>
        <w:tc>
          <w:tcPr>
            <w:tcW w:w="0" w:type="auto"/>
            <w:hideMark/>
          </w:tcPr>
          <w:p w14:paraId="16CD206E" w14:textId="77777777" w:rsidR="001A1DC9" w:rsidRPr="001A1DC9" w:rsidRDefault="001A1DC9" w:rsidP="001A1DC9">
            <w:r w:rsidRPr="001A1DC9">
              <w:t>Differentiate stages (Confirmed, In-Transit, Unconfirmed) as a "certainty ladder."</w:t>
            </w:r>
          </w:p>
        </w:tc>
        <w:tc>
          <w:tcPr>
            <w:tcW w:w="0" w:type="auto"/>
            <w:hideMark/>
          </w:tcPr>
          <w:p w14:paraId="5661D189" w14:textId="77777777" w:rsidR="001A1DC9" w:rsidRPr="001A1DC9" w:rsidRDefault="001A1DC9" w:rsidP="001A1DC9">
            <w:r w:rsidRPr="001A1DC9">
              <w:t>Projections will weight confirmed stock higher than unconfirmed requisitions.</w:t>
            </w:r>
          </w:p>
        </w:tc>
      </w:tr>
      <w:tr w:rsidR="001A1DC9" w:rsidRPr="001A1DC9" w14:paraId="4DD14AF1" w14:textId="77777777">
        <w:tc>
          <w:tcPr>
            <w:tcW w:w="0" w:type="auto"/>
            <w:hideMark/>
          </w:tcPr>
          <w:p w14:paraId="6309B0C0" w14:textId="77777777" w:rsidR="001A1DC9" w:rsidRPr="001A1DC9" w:rsidRDefault="001A1DC9" w:rsidP="001A1DC9">
            <w:r w:rsidRPr="001A1DC9">
              <w:rPr>
                <w:b/>
                <w:bCs/>
              </w:rPr>
              <w:t>Safety Stock Floor</w:t>
            </w:r>
          </w:p>
        </w:tc>
        <w:tc>
          <w:tcPr>
            <w:tcW w:w="0" w:type="auto"/>
            <w:hideMark/>
          </w:tcPr>
          <w:p w14:paraId="05CE8E79" w14:textId="77777777" w:rsidR="001A1DC9" w:rsidRPr="001A1DC9" w:rsidRDefault="001A1DC9" w:rsidP="001A1DC9">
            <w:r w:rsidRPr="001A1DC9">
              <w:rPr>
                <w:b/>
                <w:bCs/>
              </w:rPr>
              <w:t>Mentor Resolution</w:t>
            </w:r>
          </w:p>
        </w:tc>
        <w:tc>
          <w:tcPr>
            <w:tcW w:w="0" w:type="auto"/>
            <w:hideMark/>
          </w:tcPr>
          <w:p w14:paraId="603C5E78" w14:textId="77777777" w:rsidR="001A1DC9" w:rsidRPr="001A1DC9" w:rsidRDefault="001A1DC9" w:rsidP="001A1DC9">
            <w:r w:rsidRPr="001A1DC9">
              <w:t>Normalize the 10–</w:t>
            </w:r>
            <w:proofErr w:type="gramStart"/>
            <w:r w:rsidRPr="001A1DC9">
              <w:t>91 day</w:t>
            </w:r>
            <w:proofErr w:type="gramEnd"/>
            <w:r w:rsidRPr="001A1DC9">
              <w:t xml:space="preserve"> variation as location/material-specific.</w:t>
            </w:r>
          </w:p>
        </w:tc>
        <w:tc>
          <w:tcPr>
            <w:tcW w:w="0" w:type="auto"/>
            <w:hideMark/>
          </w:tcPr>
          <w:p w14:paraId="07010960" w14:textId="77777777" w:rsidR="001A1DC9" w:rsidRPr="001A1DC9" w:rsidRDefault="001A1DC9" w:rsidP="001A1DC9">
            <w:r w:rsidRPr="001A1DC9">
              <w:t>Allows the "floor" to be dynamic across 5,000 diverse SKU-locations.</w:t>
            </w:r>
          </w:p>
        </w:tc>
      </w:tr>
      <w:tr w:rsidR="001A1DC9" w:rsidRPr="001A1DC9" w14:paraId="0581369A" w14:textId="77777777">
        <w:tc>
          <w:tcPr>
            <w:tcW w:w="0" w:type="auto"/>
            <w:hideMark/>
          </w:tcPr>
          <w:p w14:paraId="7134D9B0" w14:textId="77777777" w:rsidR="001A1DC9" w:rsidRPr="001A1DC9" w:rsidRDefault="001A1DC9" w:rsidP="001A1DC9">
            <w:r w:rsidRPr="001A1DC9">
              <w:rPr>
                <w:b/>
                <w:bCs/>
              </w:rPr>
              <w:t>Order Constraints (MOQs)</w:t>
            </w:r>
          </w:p>
        </w:tc>
        <w:tc>
          <w:tcPr>
            <w:tcW w:w="0" w:type="auto"/>
            <w:hideMark/>
          </w:tcPr>
          <w:p w14:paraId="1390227C" w14:textId="77777777" w:rsidR="001A1DC9" w:rsidRPr="001A1DC9" w:rsidRDefault="001A1DC9" w:rsidP="001A1DC9">
            <w:r w:rsidRPr="001A1DC9">
              <w:rPr>
                <w:b/>
                <w:bCs/>
              </w:rPr>
              <w:t>Mentor Resolution</w:t>
            </w:r>
          </w:p>
        </w:tc>
        <w:tc>
          <w:tcPr>
            <w:tcW w:w="0" w:type="auto"/>
            <w:hideMark/>
          </w:tcPr>
          <w:p w14:paraId="1B87B81B" w14:textId="77777777" w:rsidR="001A1DC9" w:rsidRPr="001A1DC9" w:rsidRDefault="001A1DC9" w:rsidP="001A1DC9">
            <w:r w:rsidRPr="001A1DC9">
              <w:t>Ignore specific batch sizes/lot multiples for the prototype.</w:t>
            </w:r>
          </w:p>
        </w:tc>
        <w:tc>
          <w:tcPr>
            <w:tcW w:w="0" w:type="auto"/>
            <w:hideMark/>
          </w:tcPr>
          <w:p w14:paraId="40AE9B1B" w14:textId="77777777" w:rsidR="001A1DC9" w:rsidRPr="001A1DC9" w:rsidRDefault="001A1DC9" w:rsidP="001A1DC9">
            <w:r w:rsidRPr="001A1DC9">
              <w:t>Assumes input data reflects "post-constraint" planning reality.</w:t>
            </w:r>
          </w:p>
        </w:tc>
      </w:tr>
      <w:tr w:rsidR="001A1DC9" w:rsidRPr="001A1DC9" w14:paraId="21DA6641" w14:textId="77777777">
        <w:tc>
          <w:tcPr>
            <w:tcW w:w="0" w:type="auto"/>
            <w:hideMark/>
          </w:tcPr>
          <w:p w14:paraId="4918529D" w14:textId="77777777" w:rsidR="001A1DC9" w:rsidRPr="001A1DC9" w:rsidRDefault="001A1DC9" w:rsidP="001A1DC9">
            <w:r w:rsidRPr="001A1DC9">
              <w:rPr>
                <w:b/>
                <w:bCs/>
              </w:rPr>
              <w:t>Shelf Life &amp; Expiry</w:t>
            </w:r>
          </w:p>
        </w:tc>
        <w:tc>
          <w:tcPr>
            <w:tcW w:w="0" w:type="auto"/>
            <w:hideMark/>
          </w:tcPr>
          <w:p w14:paraId="4526325E" w14:textId="77777777" w:rsidR="001A1DC9" w:rsidRPr="001A1DC9" w:rsidRDefault="001A1DC9" w:rsidP="001A1DC9">
            <w:r w:rsidRPr="001A1DC9">
              <w:rPr>
                <w:b/>
                <w:bCs/>
              </w:rPr>
              <w:t>Mentor Resolution</w:t>
            </w:r>
          </w:p>
        </w:tc>
        <w:tc>
          <w:tcPr>
            <w:tcW w:w="0" w:type="auto"/>
            <w:hideMark/>
          </w:tcPr>
          <w:p w14:paraId="6567181D" w14:textId="77777777" w:rsidR="001A1DC9" w:rsidRPr="001A1DC9" w:rsidRDefault="001A1DC9" w:rsidP="001A1DC9">
            <w:r w:rsidRPr="001A1DC9">
              <w:t>Exclude pharma shelf lives (3–5 years) from the current scope.</w:t>
            </w:r>
          </w:p>
        </w:tc>
        <w:tc>
          <w:tcPr>
            <w:tcW w:w="0" w:type="auto"/>
            <w:hideMark/>
          </w:tcPr>
          <w:p w14:paraId="3F14F3D1" w14:textId="77777777" w:rsidR="001A1DC9" w:rsidRPr="001A1DC9" w:rsidRDefault="001A1DC9" w:rsidP="001A1DC9">
            <w:r w:rsidRPr="001A1DC9">
              <w:t>Simplifies the prototype to focus on corridor health over scrap risk.</w:t>
            </w:r>
          </w:p>
        </w:tc>
      </w:tr>
      <w:tr w:rsidR="001A1DC9" w:rsidRPr="001A1DC9" w14:paraId="2B627F15" w14:textId="77777777">
        <w:tc>
          <w:tcPr>
            <w:tcW w:w="0" w:type="auto"/>
            <w:hideMark/>
          </w:tcPr>
          <w:p w14:paraId="52919079" w14:textId="77777777" w:rsidR="001A1DC9" w:rsidRPr="001A1DC9" w:rsidRDefault="001A1DC9" w:rsidP="001A1DC9">
            <w:r w:rsidRPr="001A1DC9">
              <w:rPr>
                <w:b/>
                <w:bCs/>
              </w:rPr>
              <w:t>Standing vs. Developing Breaches</w:t>
            </w:r>
          </w:p>
        </w:tc>
        <w:tc>
          <w:tcPr>
            <w:tcW w:w="0" w:type="auto"/>
            <w:hideMark/>
          </w:tcPr>
          <w:p w14:paraId="35604906" w14:textId="77777777" w:rsidR="001A1DC9" w:rsidRPr="001A1DC9" w:rsidRDefault="001A1DC9" w:rsidP="001A1DC9">
            <w:r w:rsidRPr="001A1DC9">
              <w:rPr>
                <w:b/>
                <w:bCs/>
              </w:rPr>
              <w:t>Architectural Decision</w:t>
            </w:r>
          </w:p>
        </w:tc>
        <w:tc>
          <w:tcPr>
            <w:tcW w:w="0" w:type="auto"/>
            <w:hideMark/>
          </w:tcPr>
          <w:p w14:paraId="49DE4791" w14:textId="77777777" w:rsidR="001A1DC9" w:rsidRPr="001A1DC9" w:rsidRDefault="001A1DC9" w:rsidP="001A1DC9">
            <w:r w:rsidRPr="001A1DC9">
              <w:t>Flag 860 series (permanent breaches) for "Parameter Review" only.</w:t>
            </w:r>
          </w:p>
        </w:tc>
        <w:tc>
          <w:tcPr>
            <w:tcW w:w="0" w:type="auto"/>
            <w:hideMark/>
          </w:tcPr>
          <w:p w14:paraId="6F6C5E17" w14:textId="77777777" w:rsidR="001A1DC9" w:rsidRPr="001A1DC9" w:rsidRDefault="001A1DC9" w:rsidP="001A1DC9">
            <w:r w:rsidRPr="001A1DC9">
              <w:t>Prevents standing master-data errors from clogging the operational alert queue.</w:t>
            </w:r>
          </w:p>
        </w:tc>
      </w:tr>
    </w:tbl>
    <w:p w14:paraId="7CB223AA" w14:textId="77777777" w:rsidR="001A1DC9" w:rsidRPr="001A1DC9" w:rsidRDefault="001A1DC9" w:rsidP="001A1DC9">
      <w:r w:rsidRPr="001A1DC9">
        <w:t>These resolutions ensure that the system's "Internal Arithmetic Agreement" aligns with the verified patterns in the source data while maintaining high alert precision.</w:t>
      </w:r>
    </w:p>
    <w:p w14:paraId="11B7499B" w14:textId="77777777" w:rsidR="005668D1" w:rsidRDefault="005668D1"/>
    <w:sectPr w:rsidR="00566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D44"/>
    <w:multiLevelType w:val="multilevel"/>
    <w:tmpl w:val="4B4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C5541"/>
    <w:multiLevelType w:val="multilevel"/>
    <w:tmpl w:val="CAD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5270"/>
    <w:multiLevelType w:val="multilevel"/>
    <w:tmpl w:val="CE9E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71434"/>
    <w:multiLevelType w:val="multilevel"/>
    <w:tmpl w:val="7EF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041C3"/>
    <w:multiLevelType w:val="multilevel"/>
    <w:tmpl w:val="5144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46B01"/>
    <w:multiLevelType w:val="multilevel"/>
    <w:tmpl w:val="C0A4F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643512"/>
    <w:multiLevelType w:val="multilevel"/>
    <w:tmpl w:val="6F48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C450E"/>
    <w:multiLevelType w:val="multilevel"/>
    <w:tmpl w:val="B626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B4360"/>
    <w:multiLevelType w:val="multilevel"/>
    <w:tmpl w:val="D68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4070E"/>
    <w:multiLevelType w:val="multilevel"/>
    <w:tmpl w:val="B10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15909">
    <w:abstractNumId w:val="6"/>
  </w:num>
  <w:num w:numId="2" w16cid:durableId="854657067">
    <w:abstractNumId w:val="0"/>
  </w:num>
  <w:num w:numId="3" w16cid:durableId="1854997846">
    <w:abstractNumId w:val="1"/>
  </w:num>
  <w:num w:numId="4" w16cid:durableId="226457391">
    <w:abstractNumId w:val="8"/>
  </w:num>
  <w:num w:numId="5" w16cid:durableId="1663042891">
    <w:abstractNumId w:val="3"/>
  </w:num>
  <w:num w:numId="6" w16cid:durableId="90440801">
    <w:abstractNumId w:val="7"/>
  </w:num>
  <w:num w:numId="7" w16cid:durableId="1075739399">
    <w:abstractNumId w:val="4"/>
  </w:num>
  <w:num w:numId="8" w16cid:durableId="388111784">
    <w:abstractNumId w:val="2"/>
  </w:num>
  <w:num w:numId="9" w16cid:durableId="981085064">
    <w:abstractNumId w:val="9"/>
  </w:num>
  <w:num w:numId="10" w16cid:durableId="1546404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A6"/>
    <w:rsid w:val="001A1DC9"/>
    <w:rsid w:val="002660A6"/>
    <w:rsid w:val="005668D1"/>
    <w:rsid w:val="008B2A5F"/>
    <w:rsid w:val="009C0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A642"/>
  <w15:chartTrackingRefBased/>
  <w15:docId w15:val="{1DB37364-CBC3-44F8-B3F7-E242FB3B5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A6"/>
    <w:rPr>
      <w:rFonts w:eastAsiaTheme="majorEastAsia" w:cstheme="majorBidi"/>
      <w:color w:val="272727" w:themeColor="text1" w:themeTint="D8"/>
    </w:rPr>
  </w:style>
  <w:style w:type="paragraph" w:styleId="Title">
    <w:name w:val="Title"/>
    <w:basedOn w:val="Normal"/>
    <w:next w:val="Normal"/>
    <w:link w:val="TitleChar"/>
    <w:uiPriority w:val="10"/>
    <w:qFormat/>
    <w:rsid w:val="00266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A6"/>
    <w:pPr>
      <w:spacing w:before="160"/>
      <w:jc w:val="center"/>
    </w:pPr>
    <w:rPr>
      <w:i/>
      <w:iCs/>
      <w:color w:val="404040" w:themeColor="text1" w:themeTint="BF"/>
    </w:rPr>
  </w:style>
  <w:style w:type="character" w:customStyle="1" w:styleId="QuoteChar">
    <w:name w:val="Quote Char"/>
    <w:basedOn w:val="DefaultParagraphFont"/>
    <w:link w:val="Quote"/>
    <w:uiPriority w:val="29"/>
    <w:rsid w:val="002660A6"/>
    <w:rPr>
      <w:i/>
      <w:iCs/>
      <w:color w:val="404040" w:themeColor="text1" w:themeTint="BF"/>
    </w:rPr>
  </w:style>
  <w:style w:type="paragraph" w:styleId="ListParagraph">
    <w:name w:val="List Paragraph"/>
    <w:basedOn w:val="Normal"/>
    <w:uiPriority w:val="34"/>
    <w:qFormat/>
    <w:rsid w:val="002660A6"/>
    <w:pPr>
      <w:ind w:left="720"/>
      <w:contextualSpacing/>
    </w:pPr>
  </w:style>
  <w:style w:type="character" w:styleId="IntenseEmphasis">
    <w:name w:val="Intense Emphasis"/>
    <w:basedOn w:val="DefaultParagraphFont"/>
    <w:uiPriority w:val="21"/>
    <w:qFormat/>
    <w:rsid w:val="002660A6"/>
    <w:rPr>
      <w:i/>
      <w:iCs/>
      <w:color w:val="2F5496" w:themeColor="accent1" w:themeShade="BF"/>
    </w:rPr>
  </w:style>
  <w:style w:type="paragraph" w:styleId="IntenseQuote">
    <w:name w:val="Intense Quote"/>
    <w:basedOn w:val="Normal"/>
    <w:next w:val="Normal"/>
    <w:link w:val="IntenseQuoteChar"/>
    <w:uiPriority w:val="30"/>
    <w:qFormat/>
    <w:rsid w:val="00266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0A6"/>
    <w:rPr>
      <w:i/>
      <w:iCs/>
      <w:color w:val="2F5496" w:themeColor="accent1" w:themeShade="BF"/>
    </w:rPr>
  </w:style>
  <w:style w:type="character" w:styleId="IntenseReference">
    <w:name w:val="Intense Reference"/>
    <w:basedOn w:val="DefaultParagraphFont"/>
    <w:uiPriority w:val="32"/>
    <w:qFormat/>
    <w:rsid w:val="002660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1421</Words>
  <Characters>8103</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Avila Princy M</dc:creator>
  <cp:keywords/>
  <dc:description/>
  <cp:lastModifiedBy>Avila Princy M</cp:lastModifiedBy>
  <cp:revision>2</cp:revision>
  <dcterms:created xsi:type="dcterms:W3CDTF">2026-09-02T04:51:00Z</dcterms:created>
  <dcterms:modified xsi:type="dcterms:W3CDTF">2026-09-02T04:55:00Z</dcterms:modified>
</cp:coreProperties>
</file>