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2B05" w:rsidRPr="000A69D3" w:rsidRDefault="003802ED">
      <w:pPr>
        <w:spacing w:after="80"/>
        <w:rPr>
          <w:lang w:val="en-IN"/>
        </w:rPr>
      </w:pPr>
      <w:r w:rsidRPr="000A69D3">
        <w:rPr>
          <w:b/>
          <w:bCs/>
          <w:color w:val="888888"/>
          <w:sz w:val="20"/>
          <w:szCs w:val="20"/>
          <w:lang w:val="en-IN"/>
        </w:rPr>
        <w:t>SCHUMACHER</w:t>
      </w:r>
    </w:p>
    <w:p w:rsidR="000A2B05" w:rsidRPr="000A69D3" w:rsidRDefault="003802ED">
      <w:pPr>
        <w:spacing w:after="120"/>
        <w:rPr>
          <w:lang w:val="en-IN"/>
        </w:rPr>
      </w:pPr>
      <w:r w:rsidRPr="000A69D3">
        <w:rPr>
          <w:b/>
          <w:bCs/>
          <w:color w:val="1A1A2E"/>
          <w:sz w:val="44"/>
          <w:szCs w:val="44"/>
          <w:lang w:val="en-IN"/>
        </w:rPr>
        <w:t>Trade Account Segmentation Report</w:t>
      </w:r>
    </w:p>
    <w:p w:rsidR="000A2B05" w:rsidRPr="000A69D3" w:rsidRDefault="003802ED">
      <w:pPr>
        <w:rPr>
          <w:lang w:val="en-IN"/>
        </w:rPr>
      </w:pPr>
      <w:r w:rsidRPr="000A69D3">
        <w:rPr>
          <w:color w:val="666666"/>
          <w:sz w:val="20"/>
          <w:szCs w:val="20"/>
          <w:lang w:val="en-IN"/>
        </w:rPr>
        <w:t xml:space="preserve">RFM-Based K-Means Clustering </w:t>
      </w:r>
      <w:proofErr w:type="gramStart"/>
      <w:r w:rsidRPr="000A69D3">
        <w:rPr>
          <w:color w:val="666666"/>
          <w:sz w:val="20"/>
          <w:szCs w:val="20"/>
          <w:lang w:val="en-IN"/>
        </w:rPr>
        <w:t>Analysis  |</w:t>
      </w:r>
      <w:proofErr w:type="gramEnd"/>
      <w:r w:rsidRPr="000A69D3">
        <w:rPr>
          <w:color w:val="666666"/>
          <w:sz w:val="20"/>
          <w:szCs w:val="20"/>
          <w:lang w:val="en-IN"/>
        </w:rPr>
        <w:t xml:space="preserve">  Full-Year 2025  |  27,374 Trade Accounts</w:t>
      </w:r>
      <w:bookmarkStart w:id="0" w:name="_GoBack"/>
      <w:bookmarkEnd w:id="0"/>
    </w:p>
    <w:p w:rsidR="000A2B05" w:rsidRPr="000A69D3" w:rsidRDefault="000A2B05">
      <w:pPr>
        <w:pBdr>
          <w:bottom w:val="single" w:sz="4" w:space="0" w:color="1A1A2E"/>
        </w:pBdr>
        <w:spacing w:before="160" w:after="160"/>
        <w:rPr>
          <w:lang w:val="en-IN"/>
        </w:rPr>
      </w:pPr>
    </w:p>
    <w:p w:rsidR="000A2B05" w:rsidRPr="000A69D3" w:rsidRDefault="003802ED">
      <w:pPr>
        <w:spacing w:before="280" w:after="140"/>
        <w:rPr>
          <w:lang w:val="en-IN"/>
        </w:rPr>
      </w:pPr>
      <w:r w:rsidRPr="000A69D3">
        <w:rPr>
          <w:b/>
          <w:bCs/>
          <w:color w:val="1A1A2E"/>
          <w:sz w:val="30"/>
          <w:szCs w:val="30"/>
          <w:lang w:val="en-IN"/>
        </w:rPr>
        <w:t>Summary</w:t>
      </w:r>
    </w:p>
    <w:p w:rsidR="000A2B05" w:rsidRPr="000A69D3" w:rsidRDefault="003802ED">
      <w:pPr>
        <w:spacing w:before="80" w:after="120"/>
        <w:rPr>
          <w:lang w:val="en-IN"/>
        </w:rPr>
      </w:pPr>
      <w:r w:rsidRPr="000A69D3">
        <w:rPr>
          <w:color w:val="2D2D2D"/>
          <w:lang w:val="en-IN"/>
        </w:rPr>
        <w:t xml:space="preserve">This report presents the results of an RFM (Recency, Frequency, Monetary) clustering analysis applied to Schumacher's trade account base. Using K-Means clustering (k=4) on log-normalized, standardized RFM features, 27,374 accounts were segmented into four </w:t>
      </w:r>
      <w:r w:rsidR="00434A1F" w:rsidRPr="000A69D3">
        <w:rPr>
          <w:color w:val="2D2D2D"/>
          <w:lang w:val="en-IN"/>
        </w:rPr>
        <w:t>behaviourally</w:t>
      </w:r>
      <w:r w:rsidRPr="000A69D3">
        <w:rPr>
          <w:color w:val="2D2D2D"/>
          <w:lang w:val="en-IN"/>
        </w:rPr>
        <w:t xml:space="preserve"> distinct groups. The analysis reveals a highly concentrated revenue structure, with a small Champions segment driving the majority of sales, alongside a large at-risk population representing a significant win-back opportunity.</w:t>
      </w:r>
    </w:p>
    <w:p w:rsidR="000A2B05" w:rsidRPr="000A69D3" w:rsidRDefault="000A2B05">
      <w:pPr>
        <w:spacing w:before="160"/>
        <w:rPr>
          <w:lang w:val="en-IN"/>
        </w:rPr>
      </w:pPr>
    </w:p>
    <w:p w:rsidR="000A2B05" w:rsidRDefault="003802ED">
      <w:pPr>
        <w:spacing w:before="280" w:after="140"/>
      </w:pPr>
      <w:r>
        <w:rPr>
          <w:b/>
          <w:bCs/>
          <w:color w:val="1A1A2E"/>
          <w:sz w:val="30"/>
          <w:szCs w:val="30"/>
        </w:rPr>
        <w:t xml:space="preserve">Cluster </w:t>
      </w:r>
      <w:proofErr w:type="spellStart"/>
      <w:r>
        <w:rPr>
          <w:b/>
          <w:bCs/>
          <w:color w:val="1A1A2E"/>
          <w:sz w:val="30"/>
          <w:szCs w:val="30"/>
        </w:rPr>
        <w:t>Overvie</w:t>
      </w:r>
      <w:r>
        <w:rPr>
          <w:b/>
          <w:bCs/>
          <w:color w:val="1A1A2E"/>
          <w:sz w:val="30"/>
          <w:szCs w:val="30"/>
        </w:rPr>
        <w:t>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36"/>
        <w:gridCol w:w="1269"/>
        <w:gridCol w:w="1661"/>
        <w:gridCol w:w="1171"/>
        <w:gridCol w:w="2100"/>
      </w:tblGrid>
      <w:tr w:rsidR="000A2B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FFFFFF"/>
                <w:sz w:val="20"/>
                <w:szCs w:val="20"/>
              </w:rPr>
              <w:t>Accounts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Revenue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1A7A1A"/>
                <w:sz w:val="20"/>
                <w:szCs w:val="20"/>
              </w:rPr>
              <w:t>Champions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8,103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$10,680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2D2D2D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7A1A"/>
                <w:sz w:val="20"/>
                <w:szCs w:val="20"/>
              </w:rPr>
              <w:t>Retain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B8860B"/>
                <w:sz w:val="20"/>
                <w:szCs w:val="20"/>
              </w:rPr>
              <w:t xml:space="preserve">At-Risk / </w:t>
            </w:r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Lapsed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9,655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$2,737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 xml:space="preserve">126 </w:t>
            </w:r>
            <w:proofErr w:type="spellStart"/>
            <w:r>
              <w:rPr>
                <w:color w:val="2D2D2D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B8860B"/>
                <w:sz w:val="20"/>
                <w:szCs w:val="20"/>
              </w:rPr>
              <w:t>Win</w:t>
            </w:r>
            <w:proofErr w:type="spellEnd"/>
            <w:r>
              <w:rPr>
                <w:b/>
                <w:bCs/>
                <w:color w:val="B8860B"/>
                <w:sz w:val="20"/>
                <w:szCs w:val="20"/>
              </w:rPr>
              <w:t>-Back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1A3A8A"/>
                <w:sz w:val="20"/>
                <w:szCs w:val="20"/>
              </w:rPr>
              <w:t xml:space="preserve">New </w:t>
            </w:r>
            <w:proofErr w:type="spellStart"/>
            <w:r>
              <w:rPr>
                <w:b/>
                <w:bCs/>
                <w:color w:val="1A3A8A"/>
                <w:sz w:val="20"/>
                <w:szCs w:val="20"/>
              </w:rPr>
              <w:t>Prospects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3,316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$14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 xml:space="preserve">36 </w:t>
            </w:r>
            <w:proofErr w:type="spellStart"/>
            <w:r>
              <w:rPr>
                <w:color w:val="2D2D2D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3A8A"/>
                <w:sz w:val="20"/>
                <w:szCs w:val="20"/>
              </w:rPr>
              <w:t>Nurture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Hibernating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/ Lost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6,300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>$1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color w:val="2D2D2D"/>
                <w:sz w:val="20"/>
                <w:szCs w:val="20"/>
              </w:rPr>
              <w:t xml:space="preserve">181 </w:t>
            </w:r>
            <w:proofErr w:type="spellStart"/>
            <w:r>
              <w:rPr>
                <w:color w:val="2D2D2D"/>
                <w:sz w:val="20"/>
                <w:szCs w:val="20"/>
              </w:rPr>
              <w:t>days</w:t>
            </w:r>
            <w:proofErr w:type="spellEnd"/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A2B05" w:rsidRDefault="003802ED">
            <w:r>
              <w:rPr>
                <w:b/>
                <w:bCs/>
                <w:color w:val="8B0000"/>
                <w:sz w:val="20"/>
                <w:szCs w:val="20"/>
              </w:rPr>
              <w:t>Re-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engage</w:t>
            </w:r>
            <w:proofErr w:type="spellEnd"/>
            <w:r>
              <w:rPr>
                <w:b/>
                <w:bCs/>
                <w:color w:val="8B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B0000"/>
                <w:sz w:val="20"/>
                <w:szCs w:val="20"/>
              </w:rPr>
              <w:t>lightly</w:t>
            </w:r>
            <w:proofErr w:type="spellEnd"/>
          </w:p>
        </w:tc>
      </w:tr>
    </w:tbl>
    <w:p w:rsidR="000A2B05" w:rsidRDefault="000A2B05">
      <w:pPr>
        <w:spacing w:before="200"/>
      </w:pPr>
    </w:p>
    <w:p w:rsidR="000A2B05" w:rsidRDefault="000A2B05">
      <w:pPr>
        <w:pBdr>
          <w:bottom w:val="single" w:sz="4" w:space="0" w:color="CCCCCC"/>
        </w:pBdr>
        <w:spacing w:before="160" w:after="160"/>
      </w:pPr>
    </w:p>
    <w:p w:rsidR="000A2B05" w:rsidRDefault="003802ED">
      <w:pPr>
        <w:spacing w:before="280" w:after="140"/>
      </w:pPr>
      <w:proofErr w:type="spellStart"/>
      <w:r>
        <w:rPr>
          <w:b/>
          <w:bCs/>
          <w:color w:val="1A1A2E"/>
          <w:sz w:val="30"/>
          <w:szCs w:val="30"/>
        </w:rPr>
        <w:t>Methodology</w:t>
      </w:r>
      <w:proofErr w:type="spellEnd"/>
    </w:p>
    <w:p w:rsidR="000A2B05" w:rsidRPr="000A69D3" w:rsidRDefault="003802ED">
      <w:pPr>
        <w:spacing w:before="80" w:after="120"/>
        <w:rPr>
          <w:lang w:val="en-IN"/>
        </w:rPr>
      </w:pPr>
      <w:r w:rsidRPr="000A69D3">
        <w:rPr>
          <w:color w:val="2D2D2D"/>
          <w:lang w:val="en-IN"/>
        </w:rPr>
        <w:t xml:space="preserve">RFM features were computed at the trade account level from 1,983,549 transactions spanning January through December 2025. Features were log-transformed to reduce skew and then standardized using </w:t>
      </w:r>
      <w:proofErr w:type="spellStart"/>
      <w:r w:rsidRPr="000A69D3">
        <w:rPr>
          <w:color w:val="2D2D2D"/>
          <w:lang w:val="en-IN"/>
        </w:rPr>
        <w:t>StandardScaler</w:t>
      </w:r>
      <w:proofErr w:type="spellEnd"/>
      <w:r w:rsidRPr="000A69D3">
        <w:rPr>
          <w:color w:val="2D2D2D"/>
          <w:lang w:val="en-IN"/>
        </w:rPr>
        <w:t xml:space="preserve"> prior to clustering. The optimal n</w:t>
      </w:r>
      <w:r w:rsidRPr="000A69D3">
        <w:rPr>
          <w:color w:val="2D2D2D"/>
          <w:lang w:val="en-IN"/>
        </w:rPr>
        <w:t xml:space="preserve">umber of clusters was determined via the elbow method (inertia vs. k). Cluster assignments were generated using </w:t>
      </w:r>
      <w:proofErr w:type="spellStart"/>
      <w:r w:rsidRPr="000A69D3">
        <w:rPr>
          <w:color w:val="2D2D2D"/>
          <w:lang w:val="en-IN"/>
        </w:rPr>
        <w:t>fit_</w:t>
      </w:r>
      <w:proofErr w:type="gramStart"/>
      <w:r w:rsidRPr="000A69D3">
        <w:rPr>
          <w:color w:val="2D2D2D"/>
          <w:lang w:val="en-IN"/>
        </w:rPr>
        <w:t>predict</w:t>
      </w:r>
      <w:proofErr w:type="spellEnd"/>
      <w:r w:rsidRPr="000A69D3">
        <w:rPr>
          <w:color w:val="2D2D2D"/>
          <w:lang w:val="en-IN"/>
        </w:rPr>
        <w:t>(</w:t>
      </w:r>
      <w:proofErr w:type="gramEnd"/>
      <w:r w:rsidRPr="000A69D3">
        <w:rPr>
          <w:color w:val="2D2D2D"/>
          <w:lang w:val="en-IN"/>
        </w:rPr>
        <w:t>), which directly returns the nearest centroid label for each account based on Euclidean distance in scaled feature space.</w:t>
      </w:r>
    </w:p>
    <w:p w:rsidR="000A2B05" w:rsidRPr="000A69D3" w:rsidRDefault="000A2B05">
      <w:pPr>
        <w:spacing w:before="200"/>
        <w:rPr>
          <w:lang w:val="en-IN"/>
        </w:rPr>
      </w:pPr>
    </w:p>
    <w:p w:rsidR="000A2B05" w:rsidRDefault="000A2B05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A869B0" w:rsidRDefault="00A869B0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A869B0" w:rsidRDefault="00A869B0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A869B0" w:rsidRDefault="00A869B0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A869B0" w:rsidRDefault="00A869B0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A869B0" w:rsidRPr="000A69D3" w:rsidRDefault="00A869B0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0A2B05" w:rsidRDefault="003802ED">
      <w:pPr>
        <w:spacing w:before="400" w:after="200"/>
      </w:pPr>
      <w:r>
        <w:rPr>
          <w:b/>
          <w:bCs/>
          <w:color w:val="1A1A2E"/>
          <w:sz w:val="40"/>
          <w:szCs w:val="40"/>
        </w:rPr>
        <w:t>Cluster</w:t>
      </w:r>
      <w:r>
        <w:rPr>
          <w:b/>
          <w:bCs/>
          <w:color w:val="1A1A2E"/>
          <w:sz w:val="40"/>
          <w:szCs w:val="40"/>
        </w:rPr>
        <w:t xml:space="preserve"> </w:t>
      </w:r>
      <w:proofErr w:type="spellStart"/>
      <w:r>
        <w:rPr>
          <w:b/>
          <w:bCs/>
          <w:color w:val="1A1A2E"/>
          <w:sz w:val="40"/>
          <w:szCs w:val="40"/>
        </w:rPr>
        <w:t>Profiles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2"/>
        <w:gridCol w:w="3158"/>
      </w:tblGrid>
      <w:tr w:rsidR="000A2B05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7A1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A2B05" w:rsidRDefault="003802ED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🏆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Cluster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2 — Champions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8,103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Revenue per Account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$10,680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1A1A2E"/>
                <w:sz w:val="20"/>
                <w:szCs w:val="20"/>
              </w:rPr>
              <w:t>days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Order Frequency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22.8 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Share of Total 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29.6%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Pr="000A69D3" w:rsidRDefault="003802ED">
            <w:pPr>
              <w:rPr>
                <w:lang w:val="en-IN"/>
              </w:rPr>
            </w:pPr>
            <w:r w:rsidRPr="000A69D3">
              <w:rPr>
                <w:color w:val="2D2D2D"/>
                <w:sz w:val="21"/>
                <w:szCs w:val="21"/>
                <w:lang w:val="en-IN"/>
              </w:rPr>
              <w:t>Champions are the highest-value active designers in the Schumacher trade ecosystem. They purchase frequently, spend significantly, and have engaged within the last 25 days on average. Despite representing under 30% of accounts, this group drives a dispropo</w:t>
            </w:r>
            <w:r w:rsidRPr="000A69D3">
              <w:rPr>
                <w:color w:val="2D2D2D"/>
                <w:sz w:val="21"/>
                <w:szCs w:val="21"/>
                <w:lang w:val="en-IN"/>
              </w:rPr>
              <w:t>rtionate share of total revenue, consistent with a Pareto concentration pattern observed across the broader dataset.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Recommended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Actions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White-glove account management with dedicated sales rep assignment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Early access programs for new collection launches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Loyalty incentives and exclusive trade pricing tiers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Proactive outreach before seasonal buying cycles</w:t>
            </w:r>
          </w:p>
        </w:tc>
      </w:tr>
    </w:tbl>
    <w:p w:rsidR="000A2B05" w:rsidRPr="000A69D3" w:rsidRDefault="000A2B05">
      <w:pPr>
        <w:spacing w:before="24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0"/>
        <w:gridCol w:w="3190"/>
      </w:tblGrid>
      <w:tr w:rsidR="000A2B05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B8860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A2B05" w:rsidRDefault="003802ED">
            <w:r>
              <w:rPr>
                <w:b/>
                <w:bCs/>
                <w:color w:val="FFFFFF"/>
                <w:sz w:val="26"/>
                <w:szCs w:val="26"/>
              </w:rPr>
              <w:t>⚠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Cluster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0 — At-Risk /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Lapsed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9,655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Revenue per Account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$2,737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126 </w:t>
            </w:r>
            <w:proofErr w:type="spellStart"/>
            <w:r>
              <w:rPr>
                <w:color w:val="1A1A2E"/>
                <w:sz w:val="20"/>
                <w:szCs w:val="20"/>
              </w:rPr>
              <w:t>days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Order Frequency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4.9 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Share of Total 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35.2%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Pr="000A69D3" w:rsidRDefault="003802ED">
            <w:pPr>
              <w:rPr>
                <w:lang w:val="en-IN"/>
              </w:rPr>
            </w:pPr>
            <w:r w:rsidRPr="000A69D3">
              <w:rPr>
                <w:color w:val="2D2D2D"/>
                <w:sz w:val="21"/>
                <w:szCs w:val="21"/>
                <w:lang w:val="en-IN"/>
              </w:rPr>
              <w:t>At-Risk accounts represent the most strategically important segment for immediate action. These designers have demonstrated meaningful purchase intent historically, averaging $2,737 per account, but have not engaged in approximately four months. They are n</w:t>
            </w:r>
            <w:r w:rsidRPr="000A69D3">
              <w:rPr>
                <w:color w:val="2D2D2D"/>
                <w:sz w:val="21"/>
                <w:szCs w:val="21"/>
                <w:lang w:val="en-IN"/>
              </w:rPr>
              <w:t>ot yet lost, but the window for re-engagement is narrowing. The combination of historical value and current inactivity makes this the highest-ROI target for win-back investment.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Recommended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Actions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Personalized win-back outreach referencing their specific</w:t>
            </w:r>
            <w:r w:rsidRPr="000A69D3">
              <w:rPr>
                <w:color w:val="2D2D2D"/>
                <w:sz w:val="20"/>
                <w:szCs w:val="20"/>
                <w:lang w:val="en-IN"/>
              </w:rPr>
              <w:t xml:space="preserve"> past purchase categories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Targeted sampling of new arrivals aligned to previously sampled motifs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Time-limited trade incentives to create urgency without devaluing the brand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Sales rep check-in calls for accounts with historical spend above $5,000</w:t>
            </w:r>
          </w:p>
        </w:tc>
      </w:tr>
    </w:tbl>
    <w:p w:rsidR="000A2B05" w:rsidRPr="000A69D3" w:rsidRDefault="000A2B05">
      <w:pPr>
        <w:spacing w:before="24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4"/>
        <w:gridCol w:w="3136"/>
      </w:tblGrid>
      <w:tr w:rsidR="000A2B05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A8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A2B05" w:rsidRDefault="003802ED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🌱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Cluster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3 — New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Prospects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3,316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Revenue per Account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$14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36 </w:t>
            </w:r>
            <w:proofErr w:type="spellStart"/>
            <w:r>
              <w:rPr>
                <w:color w:val="1A1A2E"/>
                <w:sz w:val="20"/>
                <w:szCs w:val="20"/>
              </w:rPr>
              <w:t>days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Order Frequency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4.8 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Share of Total 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12.1%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Pr="000A69D3" w:rsidRDefault="003802ED">
            <w:pPr>
              <w:rPr>
                <w:lang w:val="en-IN"/>
              </w:rPr>
            </w:pPr>
            <w:r w:rsidRPr="000A69D3">
              <w:rPr>
                <w:color w:val="2D2D2D"/>
                <w:sz w:val="21"/>
                <w:szCs w:val="21"/>
                <w:lang w:val="en-IN"/>
              </w:rPr>
              <w:t>New Prospects are actively engaged in sampling activity but have not yet converted to purchase. Their recency (36 days) confirms they are currently in market, but near-zero monetary value indicates they remain in the evaluation phase. Conversion analysis f</w:t>
            </w:r>
            <w:r w:rsidRPr="000A69D3">
              <w:rPr>
                <w:color w:val="2D2D2D"/>
                <w:sz w:val="21"/>
                <w:szCs w:val="21"/>
                <w:lang w:val="en-IN"/>
              </w:rPr>
              <w:t>rom Notebook 03 established that accounts require an average of 37 samples before a first sale, meaning many of these accounts are still within a normal pre-purchase nurture window.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Recommended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Actions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Sustained sampling support without aggressive sales pressure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 xml:space="preserve">Educational content: </w:t>
            </w:r>
            <w:proofErr w:type="spellStart"/>
            <w:r w:rsidRPr="000A69D3">
              <w:rPr>
                <w:color w:val="2D2D2D"/>
                <w:sz w:val="20"/>
                <w:szCs w:val="20"/>
                <w:lang w:val="en-IN"/>
              </w:rPr>
              <w:t>lookbooks</w:t>
            </w:r>
            <w:proofErr w:type="spellEnd"/>
            <w:r w:rsidRPr="000A69D3">
              <w:rPr>
                <w:color w:val="2D2D2D"/>
                <w:sz w:val="20"/>
                <w:szCs w:val="20"/>
                <w:lang w:val="en-IN"/>
              </w:rPr>
              <w:t>, project inspiration, and specification guides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Flag accounts approaching the 37-sample threshold for priority sales outreach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Monitor velocity: accounts requesting 1</w:t>
            </w:r>
            <w:r w:rsidRPr="000A69D3">
              <w:rPr>
                <w:color w:val="2D2D2D"/>
                <w:sz w:val="20"/>
                <w:szCs w:val="20"/>
                <w:lang w:val="en-IN"/>
              </w:rPr>
              <w:t>0+ samples in 30 days are highest-probability converters</w:t>
            </w:r>
          </w:p>
        </w:tc>
      </w:tr>
    </w:tbl>
    <w:p w:rsidR="000A2B05" w:rsidRPr="000A69D3" w:rsidRDefault="000A2B05">
      <w:pPr>
        <w:spacing w:before="240"/>
        <w:rPr>
          <w:lang w:val="en-I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0"/>
        <w:gridCol w:w="3110"/>
      </w:tblGrid>
      <w:tr w:rsidR="000A2B05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1A1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0A2B05" w:rsidRDefault="003802ED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🚫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Cluster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1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Hibernating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/ Lost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6,300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Revenue per Account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$1</w:t>
            </w:r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181 </w:t>
            </w:r>
            <w:proofErr w:type="spellStart"/>
            <w:r>
              <w:rPr>
                <w:color w:val="1A1A2E"/>
                <w:sz w:val="20"/>
                <w:szCs w:val="20"/>
              </w:rPr>
              <w:t>days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. Order Frequency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 xml:space="preserve">2.3 </w:t>
            </w:r>
            <w:proofErr w:type="spellStart"/>
            <w:r>
              <w:rPr>
                <w:color w:val="1A1A2E"/>
                <w:sz w:val="20"/>
                <w:szCs w:val="20"/>
              </w:rPr>
              <w:t>orders</w:t>
            </w:r>
            <w:proofErr w:type="spellEnd"/>
          </w:p>
        </w:tc>
      </w:tr>
      <w:tr w:rsidR="000A2B0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b/>
                <w:bCs/>
                <w:color w:val="555555"/>
                <w:sz w:val="20"/>
                <w:szCs w:val="20"/>
              </w:rPr>
              <w:t>Share of Total Accounts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A2B05" w:rsidRDefault="003802ED">
            <w:r>
              <w:rPr>
                <w:color w:val="1A1A2E"/>
                <w:sz w:val="20"/>
                <w:szCs w:val="20"/>
              </w:rPr>
              <w:t>23.0%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Pr="000A69D3" w:rsidRDefault="003802ED">
            <w:pPr>
              <w:rPr>
                <w:lang w:val="en-IN"/>
              </w:rPr>
            </w:pPr>
            <w:r w:rsidRPr="000A69D3">
              <w:rPr>
                <w:color w:val="2D2D2D"/>
                <w:sz w:val="21"/>
                <w:szCs w:val="21"/>
                <w:lang w:val="en-IN"/>
              </w:rPr>
              <w:t>Hibernating accounts have been inactive for approximately six months and show near-zero lifetime revenue. These are effectively churned accounts. The cost of aggressive re-engagement campaigns targeted at this segment is unlikely to generate positive ROI g</w:t>
            </w:r>
            <w:r w:rsidRPr="000A69D3">
              <w:rPr>
                <w:color w:val="2D2D2D"/>
                <w:sz w:val="21"/>
                <w:szCs w:val="21"/>
                <w:lang w:val="en-IN"/>
              </w:rPr>
              <w:t>iven both the recency gap and the low historical spend. A lightweight, low-cost re-engagement sequence is appropriate, after which unresponsive accounts should be deprioritized in sample allocation and sales effort planning.</w:t>
            </w:r>
          </w:p>
        </w:tc>
      </w:tr>
      <w:tr w:rsidR="000A2B05" w:rsidRPr="000A69D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A2B05" w:rsidRDefault="003802ED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Recommended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 xml:space="preserve"> Actions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Single aut</w:t>
            </w:r>
            <w:r w:rsidRPr="000A69D3">
              <w:rPr>
                <w:color w:val="2D2D2D"/>
                <w:sz w:val="20"/>
                <w:szCs w:val="20"/>
                <w:lang w:val="en-IN"/>
              </w:rPr>
              <w:t>omated re-engagement email sequence (2-3 touches maximum)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Suppress from high-cost outreach programs and sample priority queues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Re-qualify any respondents into the appropriate active segment</w:t>
            </w:r>
          </w:p>
          <w:p w:rsidR="000A2B05" w:rsidRPr="000A69D3" w:rsidRDefault="003802ED">
            <w:pPr>
              <w:pStyle w:val="Paragrafoelenco"/>
              <w:numPr>
                <w:ilvl w:val="0"/>
                <w:numId w:val="2"/>
              </w:numPr>
              <w:spacing w:before="40" w:after="40"/>
              <w:rPr>
                <w:lang w:val="en-IN"/>
              </w:rPr>
            </w:pPr>
            <w:r w:rsidRPr="000A69D3">
              <w:rPr>
                <w:color w:val="2D2D2D"/>
                <w:sz w:val="20"/>
                <w:szCs w:val="20"/>
                <w:lang w:val="en-IN"/>
              </w:rPr>
              <w:t>Review quarterly: accounts showing activity should be re-clustered</w:t>
            </w:r>
          </w:p>
        </w:tc>
      </w:tr>
    </w:tbl>
    <w:p w:rsidR="000A2B05" w:rsidRPr="000A69D3" w:rsidRDefault="000A2B05">
      <w:pPr>
        <w:spacing w:before="200"/>
        <w:rPr>
          <w:lang w:val="en-IN"/>
        </w:rPr>
      </w:pPr>
    </w:p>
    <w:p w:rsidR="000A2B05" w:rsidRPr="000A69D3" w:rsidRDefault="000A2B05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0A2B05" w:rsidRPr="000A69D3" w:rsidRDefault="003802ED">
      <w:pPr>
        <w:spacing w:before="400" w:after="200"/>
        <w:rPr>
          <w:lang w:val="en-IN"/>
        </w:rPr>
      </w:pPr>
      <w:r w:rsidRPr="000A69D3">
        <w:rPr>
          <w:b/>
          <w:bCs/>
          <w:color w:val="1A1A2E"/>
          <w:sz w:val="40"/>
          <w:szCs w:val="40"/>
          <w:lang w:val="en-IN"/>
        </w:rPr>
        <w:t>Strategic Recommendations</w:t>
      </w:r>
    </w:p>
    <w:p w:rsidR="000A2B05" w:rsidRPr="000A69D3" w:rsidRDefault="003802ED">
      <w:pPr>
        <w:spacing w:before="80" w:after="120"/>
        <w:rPr>
          <w:lang w:val="en-IN"/>
        </w:rPr>
      </w:pPr>
      <w:r w:rsidRPr="000A69D3">
        <w:rPr>
          <w:color w:val="2D2D2D"/>
          <w:lang w:val="en-IN"/>
        </w:rPr>
        <w:t>Based on the segmentation findings, the following prioritization framework is recommended for sales and marketing resource allocation:</w:t>
      </w:r>
    </w:p>
    <w:p w:rsidR="000A2B05" w:rsidRPr="000A69D3" w:rsidRDefault="000A2B05">
      <w:pPr>
        <w:spacing w:before="80"/>
        <w:rPr>
          <w:lang w:val="en-IN"/>
        </w:rPr>
      </w:pPr>
    </w:p>
    <w:p w:rsidR="000A2B05" w:rsidRDefault="003802ED">
      <w:pPr>
        <w:pStyle w:val="Paragrafoelenco"/>
        <w:numPr>
          <w:ilvl w:val="0"/>
          <w:numId w:val="2"/>
        </w:numPr>
        <w:spacing w:before="60" w:after="60"/>
      </w:pPr>
      <w:r w:rsidRPr="000A69D3">
        <w:rPr>
          <w:b/>
          <w:bCs/>
          <w:color w:val="2D2D2D"/>
          <w:lang w:val="en-IN"/>
        </w:rPr>
        <w:t>Protect the Champions</w:t>
      </w:r>
      <w:r w:rsidRPr="000A69D3">
        <w:rPr>
          <w:color w:val="2D2D2D"/>
          <w:lang w:val="en-IN"/>
        </w:rPr>
        <w:t xml:space="preserve"> (Cluster 2). Revenue concentration risk is high — losing even a small number of these accounts has outsized impact. </w:t>
      </w:r>
      <w:proofErr w:type="spellStart"/>
      <w:r>
        <w:rPr>
          <w:color w:val="2D2D2D"/>
        </w:rPr>
        <w:t>Dedicated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retention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investment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is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justified</w:t>
      </w:r>
      <w:proofErr w:type="spellEnd"/>
      <w:r>
        <w:rPr>
          <w:color w:val="2D2D2D"/>
        </w:rPr>
        <w:t>.</w:t>
      </w:r>
    </w:p>
    <w:p w:rsidR="000A2B05" w:rsidRPr="000A69D3" w:rsidRDefault="003802ED">
      <w:pPr>
        <w:pStyle w:val="Paragrafoelenco"/>
        <w:numPr>
          <w:ilvl w:val="0"/>
          <w:numId w:val="2"/>
        </w:numPr>
        <w:spacing w:before="60" w:after="60"/>
        <w:rPr>
          <w:lang w:val="en-IN"/>
        </w:rPr>
      </w:pPr>
      <w:r w:rsidRPr="000A69D3">
        <w:rPr>
          <w:b/>
          <w:bCs/>
          <w:color w:val="2D2D2D"/>
          <w:lang w:val="en-IN"/>
        </w:rPr>
        <w:t>Activate the At-Risk segment</w:t>
      </w:r>
      <w:r w:rsidRPr="000A69D3">
        <w:rPr>
          <w:color w:val="2D2D2D"/>
          <w:lang w:val="en-IN"/>
        </w:rPr>
        <w:t xml:space="preserve"> (Cluster 0) immediately. This is the highest-opportunity segment: historically proven buyers who are disengaging. A structured win-back program targeting this group should be the top commercial priority.</w:t>
      </w:r>
    </w:p>
    <w:p w:rsidR="000A2B05" w:rsidRPr="000A69D3" w:rsidRDefault="003802ED">
      <w:pPr>
        <w:pStyle w:val="Paragrafoelenco"/>
        <w:numPr>
          <w:ilvl w:val="0"/>
          <w:numId w:val="2"/>
        </w:numPr>
        <w:spacing w:before="60" w:after="60"/>
        <w:rPr>
          <w:lang w:val="en-IN"/>
        </w:rPr>
      </w:pPr>
      <w:r w:rsidRPr="000A69D3">
        <w:rPr>
          <w:b/>
          <w:bCs/>
          <w:color w:val="2D2D2D"/>
          <w:lang w:val="en-IN"/>
        </w:rPr>
        <w:t>Nurture New Prospects</w:t>
      </w:r>
      <w:r w:rsidRPr="000A69D3">
        <w:rPr>
          <w:color w:val="2D2D2D"/>
          <w:lang w:val="en-IN"/>
        </w:rPr>
        <w:t xml:space="preserve"> (Cluster 3) patiently. Forcin</w:t>
      </w:r>
      <w:r w:rsidRPr="000A69D3">
        <w:rPr>
          <w:color w:val="2D2D2D"/>
          <w:lang w:val="en-IN"/>
        </w:rPr>
        <w:t>g conversion before the 37-sample threshold is counterproductive. Invest in education and product exposure rather than sales pressure.</w:t>
      </w:r>
    </w:p>
    <w:p w:rsidR="000A2B05" w:rsidRPr="000A69D3" w:rsidRDefault="003802ED">
      <w:pPr>
        <w:pStyle w:val="Paragrafoelenco"/>
        <w:numPr>
          <w:ilvl w:val="0"/>
          <w:numId w:val="2"/>
        </w:numPr>
        <w:spacing w:before="60" w:after="60"/>
        <w:rPr>
          <w:lang w:val="en-IN"/>
        </w:rPr>
      </w:pPr>
      <w:r w:rsidRPr="000A69D3">
        <w:rPr>
          <w:b/>
          <w:bCs/>
          <w:color w:val="2D2D2D"/>
          <w:lang w:val="en-IN"/>
        </w:rPr>
        <w:t>Deprioritize Hibernating accounts</w:t>
      </w:r>
      <w:r w:rsidRPr="000A69D3">
        <w:rPr>
          <w:color w:val="2D2D2D"/>
          <w:lang w:val="en-IN"/>
        </w:rPr>
        <w:t xml:space="preserve"> (Cluster 1). Redirect the resources currently spent on low-probability outreach toward </w:t>
      </w:r>
      <w:r w:rsidRPr="000A69D3">
        <w:rPr>
          <w:color w:val="2D2D2D"/>
          <w:lang w:val="en-IN"/>
        </w:rPr>
        <w:t>Clusters 0 and 3 where conversion probability is meaningfully higher.</w:t>
      </w:r>
    </w:p>
    <w:p w:rsidR="000A2B05" w:rsidRPr="000A69D3" w:rsidRDefault="000A2B05">
      <w:pPr>
        <w:spacing w:before="200"/>
        <w:rPr>
          <w:lang w:val="en-IN"/>
        </w:rPr>
      </w:pPr>
    </w:p>
    <w:p w:rsidR="000A2B05" w:rsidRDefault="000A2B05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3802ED" w:rsidRPr="000A69D3" w:rsidRDefault="003802ED">
      <w:pPr>
        <w:pBdr>
          <w:bottom w:val="single" w:sz="4" w:space="0" w:color="CCCCCC"/>
        </w:pBdr>
        <w:spacing w:before="160" w:after="160"/>
        <w:rPr>
          <w:lang w:val="en-IN"/>
        </w:rPr>
      </w:pPr>
    </w:p>
    <w:p w:rsidR="000A2B05" w:rsidRPr="000A69D3" w:rsidRDefault="003802ED">
      <w:pPr>
        <w:spacing w:before="120"/>
        <w:rPr>
          <w:lang w:val="en-IN"/>
        </w:rPr>
      </w:pPr>
      <w:r w:rsidRPr="000A69D3">
        <w:rPr>
          <w:i/>
          <w:iCs/>
          <w:color w:val="999999"/>
          <w:sz w:val="18"/>
          <w:szCs w:val="18"/>
          <w:lang w:val="en-IN"/>
        </w:rPr>
        <w:t>Analysis based on 1,983,549 transactions | Data range: Jan 1 – Dec 31, 2025 | Segmentation method: K-Means (k=4) on log-normalized RFM features</w:t>
      </w:r>
    </w:p>
    <w:sectPr w:rsidR="000A2B05" w:rsidRPr="000A69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E5A52"/>
    <w:multiLevelType w:val="hybridMultilevel"/>
    <w:tmpl w:val="7280FA86"/>
    <w:lvl w:ilvl="0" w:tplc="6FCAFA94">
      <w:start w:val="1"/>
      <w:numFmt w:val="bullet"/>
      <w:lvlText w:val="●"/>
      <w:lvlJc w:val="left"/>
      <w:pPr>
        <w:ind w:left="720" w:hanging="360"/>
      </w:pPr>
    </w:lvl>
    <w:lvl w:ilvl="1" w:tplc="A2E0D2CE">
      <w:start w:val="1"/>
      <w:numFmt w:val="bullet"/>
      <w:lvlText w:val="○"/>
      <w:lvlJc w:val="left"/>
      <w:pPr>
        <w:ind w:left="1440" w:hanging="360"/>
      </w:pPr>
    </w:lvl>
    <w:lvl w:ilvl="2" w:tplc="C3E6CA40">
      <w:start w:val="1"/>
      <w:numFmt w:val="bullet"/>
      <w:lvlText w:val="■"/>
      <w:lvlJc w:val="left"/>
      <w:pPr>
        <w:ind w:left="2160" w:hanging="360"/>
      </w:pPr>
    </w:lvl>
    <w:lvl w:ilvl="3" w:tplc="8668B282">
      <w:start w:val="1"/>
      <w:numFmt w:val="bullet"/>
      <w:lvlText w:val="●"/>
      <w:lvlJc w:val="left"/>
      <w:pPr>
        <w:ind w:left="2880" w:hanging="360"/>
      </w:pPr>
    </w:lvl>
    <w:lvl w:ilvl="4" w:tplc="CA6C1BB2">
      <w:start w:val="1"/>
      <w:numFmt w:val="bullet"/>
      <w:lvlText w:val="○"/>
      <w:lvlJc w:val="left"/>
      <w:pPr>
        <w:ind w:left="3600" w:hanging="360"/>
      </w:pPr>
    </w:lvl>
    <w:lvl w:ilvl="5" w:tplc="E6701D0C">
      <w:start w:val="1"/>
      <w:numFmt w:val="bullet"/>
      <w:lvlText w:val="■"/>
      <w:lvlJc w:val="left"/>
      <w:pPr>
        <w:ind w:left="4320" w:hanging="360"/>
      </w:pPr>
    </w:lvl>
    <w:lvl w:ilvl="6" w:tplc="DE7AAA10">
      <w:start w:val="1"/>
      <w:numFmt w:val="bullet"/>
      <w:lvlText w:val="●"/>
      <w:lvlJc w:val="left"/>
      <w:pPr>
        <w:ind w:left="5040" w:hanging="360"/>
      </w:pPr>
    </w:lvl>
    <w:lvl w:ilvl="7" w:tplc="B874D5F2">
      <w:start w:val="1"/>
      <w:numFmt w:val="bullet"/>
      <w:lvlText w:val="●"/>
      <w:lvlJc w:val="left"/>
      <w:pPr>
        <w:ind w:left="5760" w:hanging="360"/>
      </w:pPr>
    </w:lvl>
    <w:lvl w:ilvl="8" w:tplc="3C142B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1E1C7E"/>
    <w:multiLevelType w:val="hybridMultilevel"/>
    <w:tmpl w:val="AE9AC516"/>
    <w:lvl w:ilvl="0" w:tplc="763EAC3E">
      <w:start w:val="1"/>
      <w:numFmt w:val="bullet"/>
      <w:lvlText w:val="•"/>
      <w:lvlJc w:val="left"/>
      <w:pPr>
        <w:ind w:left="560" w:hanging="280"/>
      </w:pPr>
    </w:lvl>
    <w:lvl w:ilvl="1" w:tplc="53B6E784">
      <w:numFmt w:val="decimal"/>
      <w:lvlText w:val=""/>
      <w:lvlJc w:val="left"/>
    </w:lvl>
    <w:lvl w:ilvl="2" w:tplc="383253B8">
      <w:numFmt w:val="decimal"/>
      <w:lvlText w:val=""/>
      <w:lvlJc w:val="left"/>
    </w:lvl>
    <w:lvl w:ilvl="3" w:tplc="4056744A">
      <w:numFmt w:val="decimal"/>
      <w:lvlText w:val=""/>
      <w:lvlJc w:val="left"/>
    </w:lvl>
    <w:lvl w:ilvl="4" w:tplc="A2120012">
      <w:numFmt w:val="decimal"/>
      <w:lvlText w:val=""/>
      <w:lvlJc w:val="left"/>
    </w:lvl>
    <w:lvl w:ilvl="5" w:tplc="1C9ABE5E">
      <w:numFmt w:val="decimal"/>
      <w:lvlText w:val=""/>
      <w:lvlJc w:val="left"/>
    </w:lvl>
    <w:lvl w:ilvl="6" w:tplc="A0322A80">
      <w:numFmt w:val="decimal"/>
      <w:lvlText w:val=""/>
      <w:lvlJc w:val="left"/>
    </w:lvl>
    <w:lvl w:ilvl="7" w:tplc="E10070BE">
      <w:numFmt w:val="decimal"/>
      <w:lvlText w:val=""/>
      <w:lvlJc w:val="left"/>
    </w:lvl>
    <w:lvl w:ilvl="8" w:tplc="A9A6D0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B05"/>
    <w:rsid w:val="000A2B05"/>
    <w:rsid w:val="000A69D3"/>
    <w:rsid w:val="003802ED"/>
    <w:rsid w:val="00434A1F"/>
    <w:rsid w:val="00A8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180E439F"/>
  <w15:docId w15:val="{888A1ADF-ED66-4418-B9C6-C35C5E80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Avinash, Patnaik</cp:lastModifiedBy>
  <cp:revision>5</cp:revision>
  <dcterms:created xsi:type="dcterms:W3CDTF">2026-03-10T11:28:00Z</dcterms:created>
  <dcterms:modified xsi:type="dcterms:W3CDTF">2026-03-10T11:31:00Z</dcterms:modified>
</cp:coreProperties>
</file>