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b w:val="1"/>
          <w:sz w:val="32"/>
          <w:szCs w:val="32"/>
          <w:highlight w:val="white"/>
        </w:rPr>
      </w:pPr>
      <w:r w:rsidDel="00000000" w:rsidR="00000000" w:rsidRPr="00000000">
        <w:rPr>
          <w:rFonts w:ascii="Cambria" w:cs="Cambria" w:eastAsia="Cambria" w:hAnsi="Cambria"/>
          <w:b w:val="1"/>
          <w:color w:val="000000"/>
          <w:sz w:val="32"/>
          <w:szCs w:val="32"/>
          <w:highlight w:val="white"/>
          <w:rtl w:val="0"/>
        </w:rPr>
        <w:t xml:space="preserve">                                      Dashboard Design</w:t>
      </w:r>
      <w:r w:rsidDel="00000000" w:rsidR="00000000" w:rsidRPr="00000000">
        <w:rPr>
          <w:rtl w:val="0"/>
        </w:rPr>
      </w:r>
    </w:p>
    <w:p w:rsidR="00000000" w:rsidDel="00000000" w:rsidP="00000000" w:rsidRDefault="00000000" w:rsidRPr="00000000" w14:paraId="00000002">
      <w:pPr>
        <w:widowControl w:val="0"/>
        <w:spacing w:after="0" w:before="39" w:line="240" w:lineRule="auto"/>
        <w:ind w:left="2701" w:firstLine="0"/>
        <w:rPr>
          <w:b w:val="1"/>
          <w:sz w:val="28"/>
          <w:szCs w:val="28"/>
        </w:rPr>
      </w:pPr>
      <w:r w:rsidDel="00000000" w:rsidR="00000000" w:rsidRPr="00000000">
        <w:rPr>
          <w:rtl w:val="0"/>
        </w:rPr>
      </w:r>
    </w:p>
    <w:tbl>
      <w:tblPr>
        <w:tblStyle w:val="Table1"/>
        <w:tblW w:w="901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7"/>
        <w:gridCol w:w="4511"/>
        <w:tblGridChange w:id="0">
          <w:tblGrid>
            <w:gridCol w:w="4507"/>
            <w:gridCol w:w="4511"/>
          </w:tblGrid>
        </w:tblGridChange>
      </w:tblGrid>
      <w:tr>
        <w:trPr>
          <w:cantSplit w:val="0"/>
          <w:trHeight w:val="27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3">
            <w:pPr>
              <w:widowControl w:val="0"/>
              <w:spacing w:after="0" w:line="240" w:lineRule="auto"/>
              <w:ind w:left="131" w:firstLine="0"/>
              <w:rPr/>
            </w:pPr>
            <w:r w:rsidDel="00000000" w:rsidR="00000000" w:rsidRPr="00000000">
              <w:rPr>
                <w:rtl w:val="0"/>
              </w:rPr>
              <w:t xml:space="preserve">Date </w:t>
            </w:r>
          </w:p>
        </w:tc>
        <w:tc>
          <w:tcPr>
            <w:shd w:fill="auto" w:val="clear"/>
            <w:tcMar>
              <w:top w:w="100.0" w:type="dxa"/>
              <w:left w:w="100.0" w:type="dxa"/>
              <w:bottom w:w="100.0" w:type="dxa"/>
              <w:right w:w="100.0" w:type="dxa"/>
            </w:tcMar>
          </w:tcPr>
          <w:p w:rsidR="00000000" w:rsidDel="00000000" w:rsidP="00000000" w:rsidRDefault="00000000" w:rsidRPr="00000000" w14:paraId="00000004">
            <w:pPr>
              <w:widowControl w:val="0"/>
              <w:spacing w:after="0" w:line="240" w:lineRule="auto"/>
              <w:ind w:left="131" w:firstLine="0"/>
              <w:rPr/>
            </w:pPr>
            <w:r w:rsidDel="00000000" w:rsidR="00000000" w:rsidRPr="00000000">
              <w:rPr>
                <w:rtl w:val="0"/>
              </w:rPr>
              <w:t xml:space="preserve">1 August 2025</w:t>
            </w:r>
          </w:p>
        </w:tc>
      </w:tr>
      <w:tr>
        <w:trPr>
          <w:cantSplit w:val="0"/>
          <w:trHeight w:val="27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5">
            <w:pPr>
              <w:widowControl w:val="0"/>
              <w:spacing w:after="0" w:line="240" w:lineRule="auto"/>
              <w:ind w:left="114" w:firstLine="0"/>
              <w:rPr/>
            </w:pPr>
            <w:r w:rsidDel="00000000" w:rsidR="00000000" w:rsidRPr="00000000">
              <w:rPr>
                <w:rtl w:val="0"/>
              </w:rPr>
              <w:t xml:space="preserve">Team ID </w:t>
            </w:r>
          </w:p>
        </w:tc>
        <w:tc>
          <w:tcPr>
            <w:shd w:fill="auto" w:val="clear"/>
            <w:tcMar>
              <w:top w:w="100.0" w:type="dxa"/>
              <w:left w:w="100.0" w:type="dxa"/>
              <w:bottom w:w="100.0" w:type="dxa"/>
              <w:right w:w="100.0" w:type="dxa"/>
            </w:tcMar>
          </w:tcPr>
          <w:p w:rsidR="00000000" w:rsidDel="00000000" w:rsidP="00000000" w:rsidRDefault="00000000" w:rsidRPr="00000000" w14:paraId="00000006">
            <w:pPr>
              <w:widowControl w:val="0"/>
              <w:spacing w:after="0" w:line="240" w:lineRule="auto"/>
              <w:ind w:left="131" w:firstLine="0"/>
              <w:rPr/>
            </w:pPr>
            <w:r w:rsidDel="00000000" w:rsidR="00000000" w:rsidRPr="00000000">
              <w:rPr>
                <w:rtl w:val="0"/>
              </w:rPr>
            </w:r>
          </w:p>
        </w:tc>
      </w:tr>
      <w:tr>
        <w:trPr>
          <w:cantSplit w:val="0"/>
          <w:trHeight w:val="27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7">
            <w:pPr>
              <w:widowControl w:val="0"/>
              <w:spacing w:after="0" w:line="240" w:lineRule="auto"/>
              <w:ind w:left="131" w:firstLine="0"/>
              <w:rPr/>
            </w:pPr>
            <w:r w:rsidDel="00000000" w:rsidR="00000000" w:rsidRPr="00000000">
              <w:rPr>
                <w:rtl w:val="0"/>
              </w:rPr>
              <w:t xml:space="preserve">Project Name </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08">
            <w:pPr>
              <w:widowControl w:val="0"/>
              <w:spacing w:after="0" w:line="345.6" w:lineRule="auto"/>
              <w:rPr>
                <w:rFonts w:ascii="Arial" w:cs="Arial" w:eastAsia="Arial" w:hAnsi="Arial"/>
                <w:color w:val="35475c"/>
                <w:sz w:val="23"/>
                <w:szCs w:val="23"/>
                <w:highlight w:val="white"/>
              </w:rPr>
            </w:pPr>
            <w:r w:rsidDel="00000000" w:rsidR="00000000" w:rsidRPr="00000000">
              <w:rPr>
                <w:rFonts w:ascii="Arial" w:cs="Arial" w:eastAsia="Arial" w:hAnsi="Arial"/>
                <w:color w:val="35475c"/>
                <w:sz w:val="23"/>
                <w:szCs w:val="23"/>
                <w:highlight w:val="white"/>
                <w:rtl w:val="0"/>
              </w:rPr>
              <w:t xml:space="preserve">Power BI Inflation Analysis: Journeying Through Global Economic Terrain</w:t>
            </w:r>
          </w:p>
        </w:tc>
      </w:tr>
      <w:tr>
        <w:trPr>
          <w:cantSplit w:val="0"/>
          <w:trHeight w:val="27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9">
            <w:pPr>
              <w:widowControl w:val="0"/>
              <w:spacing w:after="0" w:line="240" w:lineRule="auto"/>
              <w:ind w:left="131" w:firstLine="0"/>
              <w:rPr/>
            </w:pPr>
            <w:r w:rsidDel="00000000" w:rsidR="00000000" w:rsidRPr="00000000">
              <w:rPr>
                <w:rtl w:val="0"/>
              </w:rPr>
              <w:t xml:space="preserve">Maximum Marks </w:t>
            </w:r>
          </w:p>
        </w:tc>
        <w:tc>
          <w:tcPr>
            <w:shd w:fill="auto" w:val="clear"/>
            <w:tcMar>
              <w:top w:w="100.0" w:type="dxa"/>
              <w:left w:w="100.0" w:type="dxa"/>
              <w:bottom w:w="100.0" w:type="dxa"/>
              <w:right w:w="100.0" w:type="dxa"/>
            </w:tcMar>
          </w:tcPr>
          <w:p w:rsidR="00000000" w:rsidDel="00000000" w:rsidP="00000000" w:rsidRDefault="00000000" w:rsidRPr="00000000" w14:paraId="0000000A">
            <w:pPr>
              <w:widowControl w:val="0"/>
              <w:spacing w:after="0" w:line="240" w:lineRule="auto"/>
              <w:ind w:left="125" w:firstLine="0"/>
              <w:rPr/>
            </w:pPr>
            <w:r w:rsidDel="00000000" w:rsidR="00000000" w:rsidRPr="00000000">
              <w:rPr>
                <w:rtl w:val="0"/>
              </w:rPr>
              <w:t xml:space="preserve">5  Marks</w:t>
            </w:r>
          </w:p>
        </w:tc>
      </w:tr>
    </w:tbl>
    <w:p w:rsidR="00000000" w:rsidDel="00000000" w:rsidP="00000000" w:rsidRDefault="00000000" w:rsidRPr="00000000" w14:paraId="0000000B">
      <w:pPr>
        <w:widowControl w:val="0"/>
        <w:spacing w:after="0" w:line="276" w:lineRule="auto"/>
        <w:rPr>
          <w:rFonts w:ascii="Cambria" w:cs="Cambria" w:eastAsia="Cambria" w:hAnsi="Cambria"/>
          <w:b w:val="1"/>
          <w:sz w:val="32"/>
          <w:szCs w:val="32"/>
          <w:highlight w:val="white"/>
        </w:rPr>
      </w:pPr>
      <w:r w:rsidDel="00000000" w:rsidR="00000000" w:rsidRPr="00000000">
        <w:rPr>
          <w:rtl w:val="0"/>
        </w:rPr>
      </w:r>
    </w:p>
    <w:p w:rsidR="00000000" w:rsidDel="00000000" w:rsidP="00000000" w:rsidRDefault="00000000" w:rsidRPr="00000000" w14:paraId="0000000C">
      <w:pPr>
        <w:rPr>
          <w:rFonts w:ascii="Cambria" w:cs="Cambria" w:eastAsia="Cambria" w:hAnsi="Cambria"/>
          <w:color w:val="000000"/>
          <w:sz w:val="24"/>
          <w:szCs w:val="24"/>
          <w:highlight w:val="white"/>
        </w:rPr>
      </w:pPr>
      <w:r w:rsidDel="00000000" w:rsidR="00000000" w:rsidRPr="00000000">
        <w:rPr>
          <w:rFonts w:ascii="Cambria" w:cs="Cambria" w:eastAsia="Cambria" w:hAnsi="Cambria"/>
          <w:color w:val="000000"/>
          <w:sz w:val="24"/>
          <w:szCs w:val="24"/>
          <w:highlight w:val="white"/>
          <w:rtl w:val="0"/>
        </w:rPr>
        <w:t xml:space="preserve">Creating an effective dashboard involves thoughtful design to ensure that the presented information is clear, relevant, and easily understandable for the intended audience. Here are some key principles and best practices for dashboard design</w:t>
      </w:r>
    </w:p>
    <w:p w:rsidR="00000000" w:rsidDel="00000000" w:rsidP="00000000" w:rsidRDefault="00000000" w:rsidRPr="00000000" w14:paraId="0000000D">
      <w:pPr>
        <w:rPr>
          <w:rFonts w:ascii="Cambria" w:cs="Cambria" w:eastAsia="Cambria" w:hAnsi="Cambria"/>
          <w:b w:val="1"/>
          <w:color w:val="000000"/>
          <w:sz w:val="24"/>
          <w:szCs w:val="24"/>
          <w:highlight w:val="white"/>
        </w:rPr>
      </w:pPr>
      <w:r w:rsidDel="00000000" w:rsidR="00000000" w:rsidRPr="00000000">
        <w:rPr>
          <w:rFonts w:ascii="Cambria" w:cs="Cambria" w:eastAsia="Cambria" w:hAnsi="Cambria"/>
          <w:b w:val="1"/>
          <w:color w:val="000000"/>
          <w:sz w:val="32"/>
          <w:szCs w:val="32"/>
          <w:highlight w:val="white"/>
          <w:rtl w:val="0"/>
        </w:rPr>
        <w:tab/>
      </w:r>
      <w:r w:rsidDel="00000000" w:rsidR="00000000" w:rsidRPr="00000000">
        <w:rPr>
          <w:rFonts w:ascii="Cambria" w:cs="Cambria" w:eastAsia="Cambria" w:hAnsi="Cambria"/>
          <w:b w:val="1"/>
          <w:color w:val="000000"/>
          <w:sz w:val="24"/>
          <w:szCs w:val="24"/>
          <w:highlight w:val="white"/>
          <w:rtl w:val="0"/>
        </w:rPr>
        <w:t xml:space="preserve">Activity 1: Interactive and visually appealing dashboards </w:t>
      </w:r>
    </w:p>
    <w:p w:rsidR="00000000" w:rsidDel="00000000" w:rsidP="00000000" w:rsidRDefault="00000000" w:rsidRPr="00000000" w14:paraId="0000000E">
      <w:pPr>
        <w:ind w:left="720" w:firstLine="0"/>
        <w:rPr>
          <w:rFonts w:ascii="Cambria" w:cs="Cambria" w:eastAsia="Cambria" w:hAnsi="Cambria"/>
          <w:color w:val="000000"/>
          <w:sz w:val="24"/>
          <w:szCs w:val="24"/>
          <w:highlight w:val="white"/>
        </w:rPr>
      </w:pPr>
      <w:r w:rsidDel="00000000" w:rsidR="00000000" w:rsidRPr="00000000">
        <w:rPr>
          <w:rFonts w:ascii="Cambria" w:cs="Cambria" w:eastAsia="Cambria" w:hAnsi="Cambria"/>
          <w:color w:val="000000"/>
          <w:sz w:val="24"/>
          <w:szCs w:val="24"/>
          <w:highlight w:val="white"/>
          <w:rtl w:val="0"/>
        </w:rPr>
        <w:t xml:space="preserve">Creating interactive and visually appealing dashboards involves a combination of thoughtful design, effective use of visual elements, and the incorporation of interactive features. Here are some tips to help you design dashboards that are both visually appealing and engaging for users  so take care of below points</w:t>
      </w:r>
    </w:p>
    <w:p w:rsidR="00000000" w:rsidDel="00000000" w:rsidP="00000000" w:rsidRDefault="00000000" w:rsidRPr="00000000" w14:paraId="0000000F">
      <w:pPr>
        <w:numPr>
          <w:ilvl w:val="0"/>
          <w:numId w:val="2"/>
        </w:numPr>
        <w:pBdr>
          <w:top w:space="0" w:sz="0" w:val="nil"/>
          <w:left w:space="0" w:sz="0" w:val="nil"/>
          <w:bottom w:space="0" w:sz="0" w:val="nil"/>
          <w:right w:space="0" w:sz="0" w:val="nil"/>
          <w:between w:space="0" w:sz="0" w:val="nil"/>
        </w:pBdr>
        <w:spacing w:after="0" w:lineRule="auto"/>
        <w:ind w:left="1440" w:hanging="360"/>
        <w:rPr>
          <w:rFonts w:ascii="Cambria" w:cs="Cambria" w:eastAsia="Cambria" w:hAnsi="Cambria"/>
          <w:color w:val="000000"/>
          <w:sz w:val="24"/>
          <w:szCs w:val="24"/>
          <w:highlight w:val="white"/>
        </w:rPr>
      </w:pPr>
      <w:r w:rsidDel="00000000" w:rsidR="00000000" w:rsidRPr="00000000">
        <w:rPr>
          <w:rFonts w:ascii="Cambria" w:cs="Cambria" w:eastAsia="Cambria" w:hAnsi="Cambria"/>
          <w:color w:val="000000"/>
          <w:sz w:val="24"/>
          <w:szCs w:val="24"/>
          <w:highlight w:val="white"/>
          <w:rtl w:val="0"/>
        </w:rPr>
        <w:t xml:space="preserve">Clear and Intuitive Layout</w:t>
      </w:r>
    </w:p>
    <w:p w:rsidR="00000000" w:rsidDel="00000000" w:rsidP="00000000" w:rsidRDefault="00000000" w:rsidRPr="00000000" w14:paraId="00000010">
      <w:pPr>
        <w:numPr>
          <w:ilvl w:val="0"/>
          <w:numId w:val="2"/>
        </w:numPr>
        <w:pBdr>
          <w:top w:space="0" w:sz="0" w:val="nil"/>
          <w:left w:space="0" w:sz="0" w:val="nil"/>
          <w:bottom w:space="0" w:sz="0" w:val="nil"/>
          <w:right w:space="0" w:sz="0" w:val="nil"/>
          <w:between w:space="0" w:sz="0" w:val="nil"/>
        </w:pBdr>
        <w:spacing w:after="0" w:lineRule="auto"/>
        <w:ind w:left="1440" w:hanging="360"/>
        <w:rPr>
          <w:rFonts w:ascii="Cambria" w:cs="Cambria" w:eastAsia="Cambria" w:hAnsi="Cambria"/>
          <w:color w:val="000000"/>
          <w:sz w:val="24"/>
          <w:szCs w:val="24"/>
          <w:highlight w:val="white"/>
        </w:rPr>
      </w:pPr>
      <w:r w:rsidDel="00000000" w:rsidR="00000000" w:rsidRPr="00000000">
        <w:rPr>
          <w:rFonts w:ascii="Cambria" w:cs="Cambria" w:eastAsia="Cambria" w:hAnsi="Cambria"/>
          <w:color w:val="000000"/>
          <w:sz w:val="24"/>
          <w:szCs w:val="24"/>
          <w:highlight w:val="white"/>
          <w:rtl w:val="0"/>
        </w:rPr>
        <w:t xml:space="preserve">Use Appropriate Visualizations</w:t>
      </w:r>
    </w:p>
    <w:p w:rsidR="00000000" w:rsidDel="00000000" w:rsidP="00000000" w:rsidRDefault="00000000" w:rsidRPr="00000000" w14:paraId="00000011">
      <w:pPr>
        <w:numPr>
          <w:ilvl w:val="0"/>
          <w:numId w:val="2"/>
        </w:numPr>
        <w:pBdr>
          <w:top w:space="0" w:sz="0" w:val="nil"/>
          <w:left w:space="0" w:sz="0" w:val="nil"/>
          <w:bottom w:space="0" w:sz="0" w:val="nil"/>
          <w:right w:space="0" w:sz="0" w:val="nil"/>
          <w:between w:space="0" w:sz="0" w:val="nil"/>
        </w:pBdr>
        <w:spacing w:after="0" w:lineRule="auto"/>
        <w:ind w:left="1440" w:hanging="360"/>
        <w:rPr>
          <w:rFonts w:ascii="Cambria" w:cs="Cambria" w:eastAsia="Cambria" w:hAnsi="Cambria"/>
          <w:color w:val="000000"/>
          <w:sz w:val="24"/>
          <w:szCs w:val="24"/>
          <w:highlight w:val="white"/>
        </w:rPr>
      </w:pPr>
      <w:r w:rsidDel="00000000" w:rsidR="00000000" w:rsidRPr="00000000">
        <w:rPr>
          <w:rFonts w:ascii="Cambria" w:cs="Cambria" w:eastAsia="Cambria" w:hAnsi="Cambria"/>
          <w:color w:val="000000"/>
          <w:sz w:val="24"/>
          <w:szCs w:val="24"/>
          <w:highlight w:val="white"/>
          <w:rtl w:val="0"/>
        </w:rPr>
        <w:t xml:space="preserve">Colour and Theming</w:t>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pacing w:after="0" w:lineRule="auto"/>
        <w:ind w:left="1440" w:hanging="360"/>
        <w:rPr>
          <w:rFonts w:ascii="Cambria" w:cs="Cambria" w:eastAsia="Cambria" w:hAnsi="Cambria"/>
          <w:color w:val="000000"/>
          <w:sz w:val="24"/>
          <w:szCs w:val="24"/>
          <w:highlight w:val="white"/>
        </w:rPr>
      </w:pPr>
      <w:r w:rsidDel="00000000" w:rsidR="00000000" w:rsidRPr="00000000">
        <w:rPr>
          <w:rFonts w:ascii="Cambria" w:cs="Cambria" w:eastAsia="Cambria" w:hAnsi="Cambria"/>
          <w:color w:val="000000"/>
          <w:sz w:val="24"/>
          <w:szCs w:val="24"/>
          <w:highlight w:val="white"/>
          <w:rtl w:val="0"/>
        </w:rPr>
        <w:t xml:space="preserve">Interactive Filters and Slicers</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pacing w:after="0" w:lineRule="auto"/>
        <w:ind w:left="1440" w:hanging="360"/>
        <w:rPr>
          <w:rFonts w:ascii="Cambria" w:cs="Cambria" w:eastAsia="Cambria" w:hAnsi="Cambria"/>
          <w:color w:val="000000"/>
          <w:sz w:val="24"/>
          <w:szCs w:val="24"/>
          <w:highlight w:val="white"/>
        </w:rPr>
      </w:pPr>
      <w:r w:rsidDel="00000000" w:rsidR="00000000" w:rsidRPr="00000000">
        <w:rPr>
          <w:rFonts w:ascii="Cambria" w:cs="Cambria" w:eastAsia="Cambria" w:hAnsi="Cambria"/>
          <w:color w:val="000000"/>
          <w:sz w:val="24"/>
          <w:szCs w:val="24"/>
          <w:highlight w:val="white"/>
          <w:rtl w:val="0"/>
        </w:rPr>
        <w:t xml:space="preserve">Drill-Down Capabilities</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pacing w:after="0" w:lineRule="auto"/>
        <w:ind w:left="1440" w:hanging="360"/>
        <w:rPr>
          <w:rFonts w:ascii="Cambria" w:cs="Cambria" w:eastAsia="Cambria" w:hAnsi="Cambria"/>
          <w:color w:val="000000"/>
          <w:sz w:val="24"/>
          <w:szCs w:val="24"/>
          <w:highlight w:val="white"/>
        </w:rPr>
      </w:pPr>
      <w:r w:rsidDel="00000000" w:rsidR="00000000" w:rsidRPr="00000000">
        <w:rPr>
          <w:rFonts w:ascii="Cambria" w:cs="Cambria" w:eastAsia="Cambria" w:hAnsi="Cambria"/>
          <w:color w:val="000000"/>
          <w:sz w:val="24"/>
          <w:szCs w:val="24"/>
          <w:highlight w:val="white"/>
          <w:rtl w:val="0"/>
        </w:rPr>
        <w:t xml:space="preserve">Responsive Design</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pacing w:after="0" w:lineRule="auto"/>
        <w:ind w:left="1440" w:hanging="360"/>
        <w:rPr>
          <w:rFonts w:ascii="Cambria" w:cs="Cambria" w:eastAsia="Cambria" w:hAnsi="Cambria"/>
          <w:color w:val="000000"/>
          <w:sz w:val="24"/>
          <w:szCs w:val="24"/>
          <w:highlight w:val="white"/>
        </w:rPr>
      </w:pPr>
      <w:r w:rsidDel="00000000" w:rsidR="00000000" w:rsidRPr="00000000">
        <w:rPr>
          <w:rFonts w:ascii="Cambria" w:cs="Cambria" w:eastAsia="Cambria" w:hAnsi="Cambria"/>
          <w:color w:val="000000"/>
          <w:sz w:val="24"/>
          <w:szCs w:val="24"/>
          <w:highlight w:val="white"/>
          <w:rtl w:val="0"/>
        </w:rPr>
        <w:t xml:space="preserve">Custom Visuals and Icons</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ind w:left="1440" w:hanging="360"/>
        <w:rPr>
          <w:rFonts w:ascii="Cambria" w:cs="Cambria" w:eastAsia="Cambria" w:hAnsi="Cambria"/>
          <w:color w:val="000000"/>
          <w:sz w:val="24"/>
          <w:szCs w:val="24"/>
          <w:highlight w:val="white"/>
        </w:rPr>
      </w:pPr>
      <w:r w:rsidDel="00000000" w:rsidR="00000000" w:rsidRPr="00000000">
        <w:rPr>
          <w:rFonts w:ascii="Cambria" w:cs="Cambria" w:eastAsia="Cambria" w:hAnsi="Cambria"/>
          <w:color w:val="000000"/>
          <w:sz w:val="24"/>
          <w:szCs w:val="24"/>
          <w:highlight w:val="white"/>
          <w:rtl w:val="0"/>
        </w:rPr>
        <w:t xml:space="preserve">Use of Infographics</w:t>
      </w:r>
      <w:r w:rsidDel="00000000" w:rsidR="00000000" w:rsidRPr="00000000">
        <w:rPr>
          <w:rtl w:val="0"/>
        </w:rPr>
      </w:r>
    </w:p>
    <w:p w:rsidR="00000000" w:rsidDel="00000000" w:rsidP="00000000" w:rsidRDefault="00000000" w:rsidRPr="00000000" w14:paraId="00000017">
      <w:pPr>
        <w:spacing w:after="200" w:line="240" w:lineRule="auto"/>
        <w:rPr>
          <w:rFonts w:ascii="Arial" w:cs="Arial" w:eastAsia="Arial" w:hAnsi="Arial"/>
          <w:sz w:val="20"/>
          <w:szCs w:val="20"/>
        </w:rPr>
      </w:pPr>
      <w:r w:rsidDel="00000000" w:rsidR="00000000" w:rsidRPr="00000000">
        <w:rPr/>
        <w:drawing>
          <wp:inline distB="114300" distT="114300" distL="114300" distR="114300">
            <wp:extent cx="5819775" cy="2776538"/>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819775" cy="2776538"/>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after="240" w:before="240" w:line="240" w:lineRule="auto"/>
        <w:rPr>
          <w:sz w:val="24"/>
          <w:szCs w:val="24"/>
        </w:rPr>
      </w:pPr>
      <w:r w:rsidDel="00000000" w:rsidR="00000000" w:rsidRPr="00000000">
        <w:rPr>
          <w:sz w:val="24"/>
          <w:szCs w:val="24"/>
          <w:rtl w:val="0"/>
        </w:rPr>
        <w:t xml:space="preserve">Here are all potential outcomes from the </w:t>
      </w:r>
      <w:r w:rsidDel="00000000" w:rsidR="00000000" w:rsidRPr="00000000">
        <w:rPr>
          <w:b w:val="1"/>
          <w:sz w:val="24"/>
          <w:szCs w:val="24"/>
          <w:rtl w:val="0"/>
        </w:rPr>
        <w:t xml:space="preserve">Global Inflation Power BI Dashboard</w:t>
      </w:r>
      <w:r w:rsidDel="00000000" w:rsidR="00000000" w:rsidRPr="00000000">
        <w:rPr>
          <w:sz w:val="24"/>
          <w:szCs w:val="24"/>
          <w:rtl w:val="0"/>
        </w:rPr>
        <w:t xml:space="preserve">:</w:t>
      </w:r>
    </w:p>
    <w:p w:rsidR="00000000" w:rsidDel="00000000" w:rsidP="00000000" w:rsidRDefault="00000000" w:rsidRPr="00000000" w14:paraId="00000019">
      <w:pPr>
        <w:numPr>
          <w:ilvl w:val="0"/>
          <w:numId w:val="1"/>
        </w:numPr>
        <w:spacing w:after="0" w:afterAutospacing="0" w:line="240" w:lineRule="auto"/>
        <w:ind w:left="720" w:hanging="360"/>
        <w:rPr>
          <w:sz w:val="24"/>
          <w:szCs w:val="24"/>
        </w:rPr>
      </w:pPr>
      <w:r w:rsidDel="00000000" w:rsidR="00000000" w:rsidRPr="00000000">
        <w:rPr>
          <w:b w:val="1"/>
          <w:sz w:val="24"/>
          <w:szCs w:val="24"/>
          <w:rtl w:val="0"/>
        </w:rPr>
        <w:t xml:space="preserve">Average Inflation Rate (Card Visualization):</w:t>
      </w:r>
      <w:r w:rsidDel="00000000" w:rsidR="00000000" w:rsidRPr="00000000">
        <w:rPr>
          <w:sz w:val="24"/>
          <w:szCs w:val="24"/>
          <w:rtl w:val="0"/>
        </w:rPr>
        <w:t xml:space="preserve"> The global average inflation rate is </w:t>
      </w:r>
      <w:r w:rsidDel="00000000" w:rsidR="00000000" w:rsidRPr="00000000">
        <w:rPr>
          <w:b w:val="1"/>
          <w:sz w:val="24"/>
          <w:szCs w:val="24"/>
          <w:rtl w:val="0"/>
        </w:rPr>
        <w:t xml:space="preserve">38.68</w:t>
      </w:r>
      <w:r w:rsidDel="00000000" w:rsidR="00000000" w:rsidRPr="00000000">
        <w:rPr>
          <w:sz w:val="24"/>
          <w:szCs w:val="24"/>
          <w:rtl w:val="0"/>
        </w:rPr>
        <w:t xml:space="preserve">, showing the overall inflationary pressure across regions.</w:t>
        <w:br w:type="textWrapping"/>
      </w:r>
    </w:p>
    <w:p w:rsidR="00000000" w:rsidDel="00000000" w:rsidP="00000000" w:rsidRDefault="00000000" w:rsidRPr="00000000" w14:paraId="0000001A">
      <w:pPr>
        <w:numPr>
          <w:ilvl w:val="0"/>
          <w:numId w:val="1"/>
        </w:numPr>
        <w:spacing w:after="0" w:afterAutospacing="0" w:line="240" w:lineRule="auto"/>
        <w:ind w:left="720" w:hanging="360"/>
        <w:rPr>
          <w:sz w:val="24"/>
          <w:szCs w:val="24"/>
        </w:rPr>
      </w:pPr>
      <w:r w:rsidDel="00000000" w:rsidR="00000000" w:rsidRPr="00000000">
        <w:rPr>
          <w:b w:val="1"/>
          <w:sz w:val="24"/>
          <w:szCs w:val="24"/>
          <w:rtl w:val="0"/>
        </w:rPr>
        <w:t xml:space="preserve">Maximum Inflation Rate (Card Visualization):</w:t>
      </w:r>
      <w:r w:rsidDel="00000000" w:rsidR="00000000" w:rsidRPr="00000000">
        <w:rPr>
          <w:sz w:val="24"/>
          <w:szCs w:val="24"/>
          <w:rtl w:val="0"/>
        </w:rPr>
        <w:t xml:space="preserve"> The highest recorded inflation rate is </w:t>
      </w:r>
      <w:r w:rsidDel="00000000" w:rsidR="00000000" w:rsidRPr="00000000">
        <w:rPr>
          <w:b w:val="1"/>
          <w:sz w:val="24"/>
          <w:szCs w:val="24"/>
          <w:rtl w:val="0"/>
        </w:rPr>
        <w:t xml:space="preserve">65,370</w:t>
      </w:r>
      <w:r w:rsidDel="00000000" w:rsidR="00000000" w:rsidRPr="00000000">
        <w:rPr>
          <w:sz w:val="24"/>
          <w:szCs w:val="24"/>
          <w:rtl w:val="0"/>
        </w:rPr>
        <w:t xml:space="preserve">, highlighting severe economic instability in some nations.</w:t>
        <w:br w:type="textWrapping"/>
      </w:r>
    </w:p>
    <w:p w:rsidR="00000000" w:rsidDel="00000000" w:rsidP="00000000" w:rsidRDefault="00000000" w:rsidRPr="00000000" w14:paraId="0000001B">
      <w:pPr>
        <w:numPr>
          <w:ilvl w:val="0"/>
          <w:numId w:val="1"/>
        </w:numPr>
        <w:spacing w:after="0" w:afterAutospacing="0" w:line="240" w:lineRule="auto"/>
        <w:ind w:left="720" w:hanging="360"/>
        <w:rPr>
          <w:sz w:val="24"/>
          <w:szCs w:val="24"/>
        </w:rPr>
      </w:pPr>
      <w:r w:rsidDel="00000000" w:rsidR="00000000" w:rsidRPr="00000000">
        <w:rPr>
          <w:b w:val="1"/>
          <w:sz w:val="24"/>
          <w:szCs w:val="24"/>
          <w:rtl w:val="0"/>
        </w:rPr>
        <w:t xml:space="preserve">Regional Coverage (Card Visualization):</w:t>
      </w:r>
      <w:r w:rsidDel="00000000" w:rsidR="00000000" w:rsidRPr="00000000">
        <w:rPr>
          <w:sz w:val="24"/>
          <w:szCs w:val="24"/>
          <w:rtl w:val="0"/>
        </w:rPr>
        <w:t xml:space="preserve"> The dataset spans </w:t>
      </w:r>
      <w:r w:rsidDel="00000000" w:rsidR="00000000" w:rsidRPr="00000000">
        <w:rPr>
          <w:b w:val="1"/>
          <w:sz w:val="24"/>
          <w:szCs w:val="24"/>
          <w:rtl w:val="0"/>
        </w:rPr>
        <w:t xml:space="preserve">11 regions</w:t>
      </w:r>
      <w:r w:rsidDel="00000000" w:rsidR="00000000" w:rsidRPr="00000000">
        <w:rPr>
          <w:sz w:val="24"/>
          <w:szCs w:val="24"/>
          <w:rtl w:val="0"/>
        </w:rPr>
        <w:t xml:space="preserve">, offering wide geographic coverage for inflation analysis.</w:t>
        <w:br w:type="textWrapping"/>
      </w:r>
    </w:p>
    <w:p w:rsidR="00000000" w:rsidDel="00000000" w:rsidP="00000000" w:rsidRDefault="00000000" w:rsidRPr="00000000" w14:paraId="0000001C">
      <w:pPr>
        <w:numPr>
          <w:ilvl w:val="0"/>
          <w:numId w:val="1"/>
        </w:numPr>
        <w:spacing w:after="0" w:afterAutospacing="0" w:line="240" w:lineRule="auto"/>
        <w:ind w:left="720" w:hanging="360"/>
        <w:rPr>
          <w:sz w:val="24"/>
          <w:szCs w:val="24"/>
        </w:rPr>
      </w:pPr>
      <w:r w:rsidDel="00000000" w:rsidR="00000000" w:rsidRPr="00000000">
        <w:rPr>
          <w:b w:val="1"/>
          <w:sz w:val="24"/>
          <w:szCs w:val="24"/>
          <w:rtl w:val="0"/>
        </w:rPr>
        <w:t xml:space="preserve">Inflation Trends Over Time (Line Chart – Sum of InflationRate by Year):</w:t>
      </w:r>
      <w:r w:rsidDel="00000000" w:rsidR="00000000" w:rsidRPr="00000000">
        <w:rPr>
          <w:sz w:val="24"/>
          <w:szCs w:val="24"/>
          <w:rtl w:val="0"/>
        </w:rPr>
        <w:t xml:space="preserve"> Clear inflation spikes are visible in the late 1980s, early 1990s, and around </w:t>
      </w:r>
      <w:r w:rsidDel="00000000" w:rsidR="00000000" w:rsidRPr="00000000">
        <w:rPr>
          <w:b w:val="1"/>
          <w:sz w:val="24"/>
          <w:szCs w:val="24"/>
          <w:rtl w:val="0"/>
        </w:rPr>
        <w:t xml:space="preserve">2020</w:t>
      </w:r>
      <w:r w:rsidDel="00000000" w:rsidR="00000000" w:rsidRPr="00000000">
        <w:rPr>
          <w:sz w:val="24"/>
          <w:szCs w:val="24"/>
          <w:rtl w:val="0"/>
        </w:rPr>
        <w:t xml:space="preserve">, indicating that major historical and economic events significantly influenced inflation during these years.</w:t>
        <w:br w:type="textWrapping"/>
      </w:r>
    </w:p>
    <w:p w:rsidR="00000000" w:rsidDel="00000000" w:rsidP="00000000" w:rsidRDefault="00000000" w:rsidRPr="00000000" w14:paraId="0000001D">
      <w:pPr>
        <w:numPr>
          <w:ilvl w:val="0"/>
          <w:numId w:val="1"/>
        </w:numPr>
        <w:spacing w:after="0" w:afterAutospacing="0" w:line="240" w:lineRule="auto"/>
        <w:ind w:left="720" w:hanging="360"/>
        <w:rPr>
          <w:sz w:val="24"/>
          <w:szCs w:val="24"/>
        </w:rPr>
      </w:pPr>
      <w:r w:rsidDel="00000000" w:rsidR="00000000" w:rsidRPr="00000000">
        <w:rPr>
          <w:b w:val="1"/>
          <w:sz w:val="24"/>
          <w:szCs w:val="24"/>
          <w:rtl w:val="0"/>
        </w:rPr>
        <w:t xml:space="preserve">Inflation Distribution by Category (Pie Chart – Sum of InflationRate by Countries):</w:t>
      </w:r>
      <w:r w:rsidDel="00000000" w:rsidR="00000000" w:rsidRPr="00000000">
        <w:rPr>
          <w:sz w:val="24"/>
          <w:szCs w:val="24"/>
          <w:rtl w:val="0"/>
        </w:rPr>
        <w:t xml:space="preserve"> The </w:t>
      </w:r>
      <w:r w:rsidDel="00000000" w:rsidR="00000000" w:rsidRPr="00000000">
        <w:rPr>
          <w:b w:val="1"/>
          <w:sz w:val="24"/>
          <w:szCs w:val="24"/>
          <w:rtl w:val="0"/>
        </w:rPr>
        <w:t xml:space="preserve">High</w:t>
      </w:r>
      <w:r w:rsidDel="00000000" w:rsidR="00000000" w:rsidRPr="00000000">
        <w:rPr>
          <w:sz w:val="24"/>
          <w:szCs w:val="24"/>
          <w:rtl w:val="0"/>
        </w:rPr>
        <w:t xml:space="preserve"> inflation category accounts for </w:t>
      </w:r>
      <w:r w:rsidDel="00000000" w:rsidR="00000000" w:rsidRPr="00000000">
        <w:rPr>
          <w:b w:val="1"/>
          <w:sz w:val="24"/>
          <w:szCs w:val="24"/>
          <w:rtl w:val="0"/>
        </w:rPr>
        <w:t xml:space="preserve">97.54%</w:t>
      </w:r>
      <w:r w:rsidDel="00000000" w:rsidR="00000000" w:rsidRPr="00000000">
        <w:rPr>
          <w:sz w:val="24"/>
          <w:szCs w:val="24"/>
          <w:rtl w:val="0"/>
        </w:rPr>
        <w:t xml:space="preserve"> of total recorded values, dwarfing Medium and Low categories, which indicates that most inflation figures come from economies under extreme pressure.</w:t>
        <w:br w:type="textWrapping"/>
      </w:r>
    </w:p>
    <w:p w:rsidR="00000000" w:rsidDel="00000000" w:rsidP="00000000" w:rsidRDefault="00000000" w:rsidRPr="00000000" w14:paraId="0000001E">
      <w:pPr>
        <w:numPr>
          <w:ilvl w:val="0"/>
          <w:numId w:val="1"/>
        </w:numPr>
        <w:spacing w:after="0" w:afterAutospacing="0" w:line="240" w:lineRule="auto"/>
        <w:ind w:left="720" w:hanging="360"/>
        <w:rPr>
          <w:sz w:val="24"/>
          <w:szCs w:val="24"/>
        </w:rPr>
      </w:pPr>
      <w:r w:rsidDel="00000000" w:rsidR="00000000" w:rsidRPr="00000000">
        <w:rPr>
          <w:b w:val="1"/>
          <w:sz w:val="24"/>
          <w:szCs w:val="24"/>
          <w:rtl w:val="0"/>
        </w:rPr>
        <w:t xml:space="preserve">Inflation Change (Card Visualization – InflationRateChange):</w:t>
      </w:r>
      <w:r w:rsidDel="00000000" w:rsidR="00000000" w:rsidRPr="00000000">
        <w:rPr>
          <w:sz w:val="24"/>
          <w:szCs w:val="24"/>
          <w:rtl w:val="0"/>
        </w:rPr>
        <w:t xml:space="preserve"> The inflation rate change recorded is </w:t>
      </w:r>
      <w:r w:rsidDel="00000000" w:rsidR="00000000" w:rsidRPr="00000000">
        <w:rPr>
          <w:b w:val="1"/>
          <w:sz w:val="24"/>
          <w:szCs w:val="24"/>
          <w:rtl w:val="0"/>
        </w:rPr>
        <w:t xml:space="preserve">229.70</w:t>
      </w:r>
      <w:r w:rsidDel="00000000" w:rsidR="00000000" w:rsidRPr="00000000">
        <w:rPr>
          <w:sz w:val="24"/>
          <w:szCs w:val="24"/>
          <w:rtl w:val="0"/>
        </w:rPr>
        <w:t xml:space="preserve">, showing a considerable shift in inflation levels across the measured period.</w:t>
        <w:br w:type="textWrapping"/>
      </w:r>
    </w:p>
    <w:p w:rsidR="00000000" w:rsidDel="00000000" w:rsidP="00000000" w:rsidRDefault="00000000" w:rsidRPr="00000000" w14:paraId="0000001F">
      <w:pPr>
        <w:numPr>
          <w:ilvl w:val="0"/>
          <w:numId w:val="1"/>
        </w:numPr>
        <w:spacing w:after="0" w:afterAutospacing="0" w:line="240" w:lineRule="auto"/>
        <w:ind w:left="720" w:hanging="360"/>
        <w:rPr>
          <w:sz w:val="24"/>
          <w:szCs w:val="24"/>
        </w:rPr>
      </w:pPr>
      <w:r w:rsidDel="00000000" w:rsidR="00000000" w:rsidRPr="00000000">
        <w:rPr>
          <w:b w:val="1"/>
          <w:sz w:val="24"/>
          <w:szCs w:val="24"/>
          <w:rtl w:val="0"/>
        </w:rPr>
        <w:t xml:space="preserve">Combined Inflation Metrics (Scatter Plot – Sum of InflationRate and AdjustedInflationRate by Year):</w:t>
      </w:r>
      <w:r w:rsidDel="00000000" w:rsidR="00000000" w:rsidRPr="00000000">
        <w:rPr>
          <w:sz w:val="24"/>
          <w:szCs w:val="24"/>
          <w:rtl w:val="0"/>
        </w:rPr>
        <w:t xml:space="preserve"> This plot reveals that years like </w:t>
      </w:r>
      <w:r w:rsidDel="00000000" w:rsidR="00000000" w:rsidRPr="00000000">
        <w:rPr>
          <w:b w:val="1"/>
          <w:sz w:val="24"/>
          <w:szCs w:val="24"/>
          <w:rtl w:val="0"/>
        </w:rPr>
        <w:t xml:space="preserve">1980, 1985, 1987, 1993, 1994, 2018, and 2019</w:t>
      </w:r>
      <w:r w:rsidDel="00000000" w:rsidR="00000000" w:rsidRPr="00000000">
        <w:rPr>
          <w:sz w:val="24"/>
          <w:szCs w:val="24"/>
          <w:rtl w:val="0"/>
        </w:rPr>
        <w:t xml:space="preserve"> had notable combinations of high nominal and adjusted inflation rates.</w:t>
        <w:br w:type="textWrapping"/>
      </w:r>
    </w:p>
    <w:p w:rsidR="00000000" w:rsidDel="00000000" w:rsidP="00000000" w:rsidRDefault="00000000" w:rsidRPr="00000000" w14:paraId="00000020">
      <w:pPr>
        <w:numPr>
          <w:ilvl w:val="0"/>
          <w:numId w:val="1"/>
        </w:numPr>
        <w:spacing w:after="200" w:line="240" w:lineRule="auto"/>
        <w:ind w:left="720" w:hanging="360"/>
        <w:rPr>
          <w:sz w:val="24"/>
          <w:szCs w:val="24"/>
        </w:rPr>
      </w:pPr>
      <w:r w:rsidDel="00000000" w:rsidR="00000000" w:rsidRPr="00000000">
        <w:rPr>
          <w:b w:val="1"/>
          <w:sz w:val="24"/>
          <w:szCs w:val="24"/>
          <w:rtl w:val="0"/>
        </w:rPr>
        <w:t xml:space="preserve">Yearly Inflation Totals (Bar Chart – Sum of InflationRate by Year):</w:t>
      </w:r>
      <w:r w:rsidDel="00000000" w:rsidR="00000000" w:rsidRPr="00000000">
        <w:rPr>
          <w:sz w:val="24"/>
          <w:szCs w:val="24"/>
          <w:rtl w:val="0"/>
        </w:rPr>
        <w:t xml:space="preserve"> The highest yearly total inflation rates occurred in the late 1980s, early 1990s, and around 2020, aligning with global and regional economic disruptions.</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ambria"/>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7E317E"/>
    <w:rPr>
      <w:color w:val="0563c1" w:themeColor="hyperlink"/>
      <w:u w:val="single"/>
    </w:rPr>
  </w:style>
  <w:style w:type="paragraph" w:styleId="ListParagraph">
    <w:name w:val="List Paragraph"/>
    <w:basedOn w:val="Normal"/>
    <w:uiPriority w:val="1"/>
    <w:qFormat w:val="1"/>
    <w:rsid w:val="007E317E"/>
    <w:pPr>
      <w:ind w:left="720"/>
      <w:contextualSpacing w:val="1"/>
    </w:p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NYROOVC+G8uTvkKdnXhT69QdgbQ==">CgMxLjA4AHIhMU1fbjV3NWNwQmFDTWxEbkliUV8yYVl2d25GOVBSaG8w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2024-01-13T08:54:00Z</dcterms:created>
  <dc:creator>SmarBridge ML</dc:creator>
</cp:coreProperties>
</file>