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Report</w:t>
      </w:r>
    </w:p>
    <w:p w:rsidR="00000000" w:rsidDel="00000000" w:rsidP="00000000" w:rsidRDefault="00000000" w:rsidRPr="00000000" w14:paraId="00000002">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31 July 2025</w:t>
            </w:r>
          </w:p>
        </w:tc>
      </w:tr>
      <w:tr>
        <w:trPr>
          <w:cantSplit w:val="0"/>
          <w:tblHeader w:val="0"/>
        </w:trPr>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6">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Project 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8">
            <w:pPr>
              <w:spacing w:line="288" w:lineRule="auto"/>
              <w:rPr>
                <w:rFonts w:ascii="Arial" w:cs="Arial" w:eastAsia="Arial" w:hAnsi="Arial"/>
                <w:color w:val="35475c"/>
                <w:sz w:val="23"/>
                <w:szCs w:val="23"/>
                <w:highlight w:val="white"/>
              </w:rPr>
            </w:pPr>
            <w:r w:rsidDel="00000000" w:rsidR="00000000" w:rsidRPr="00000000">
              <w:rPr>
                <w:rFonts w:ascii="Arial" w:cs="Arial" w:eastAsia="Arial" w:hAnsi="Arial"/>
                <w:color w:val="35475c"/>
                <w:sz w:val="23"/>
                <w:szCs w:val="23"/>
                <w:highlight w:val="white"/>
                <w:rtl w:val="0"/>
              </w:rPr>
              <w:t xml:space="preserve">Power BI Inflation Analysis: Journeying Through Global Economic Terrain</w:t>
            </w:r>
          </w:p>
        </w:tc>
      </w:tr>
      <w:tr>
        <w:trPr>
          <w:cantSplit w:val="0"/>
          <w:tblHeader w:val="0"/>
        </w:trPr>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5 Marks</w:t>
            </w:r>
          </w:p>
        </w:tc>
      </w:tr>
    </w:tbl>
    <w:p w:rsidR="00000000" w:rsidDel="00000000" w:rsidP="00000000" w:rsidRDefault="00000000" w:rsidRPr="00000000" w14:paraId="0000000B">
      <w:pPr>
        <w:rPr>
          <w:rFonts w:ascii="Cambria" w:cs="Cambria" w:eastAsia="Cambria" w:hAnsi="Cambria"/>
          <w:color w:val="000000"/>
          <w:sz w:val="24"/>
          <w:szCs w:val="24"/>
          <w:highlight w:val="white"/>
        </w:rPr>
      </w:pPr>
      <w:r w:rsidDel="00000000" w:rsidR="00000000" w:rsidRPr="00000000">
        <w:rPr>
          <w:rtl w:val="0"/>
        </w:rPr>
      </w:r>
    </w:p>
    <w:p w:rsidR="00000000" w:rsidDel="00000000" w:rsidP="00000000" w:rsidRDefault="00000000" w:rsidRPr="00000000" w14:paraId="0000000C">
      <w:pPr>
        <w:spacing w:after="280" w:before="280" w:line="240" w:lineRule="auto"/>
        <w:ind w:left="284" w:firstLine="0"/>
        <w:jc w:val="both"/>
        <w:rPr>
          <w:sz w:val="24"/>
          <w:szCs w:val="24"/>
        </w:rPr>
      </w:pPr>
      <w:r w:rsidDel="00000000" w:rsidR="00000000" w:rsidRPr="00000000">
        <w:rPr>
          <w:rFonts w:ascii="Calibri" w:cs="Calibri" w:eastAsia="Calibri" w:hAnsi="Calibri"/>
          <w:sz w:val="24"/>
          <w:szCs w:val="24"/>
          <w:rtl w:val="0"/>
        </w:rPr>
        <w:t xml:space="preserve">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w:t>
      </w:r>
      <w:r w:rsidDel="00000000" w:rsidR="00000000" w:rsidRPr="00000000">
        <w:rPr>
          <w:rtl w:val="0"/>
        </w:rPr>
      </w:r>
    </w:p>
    <w:p w:rsidR="00000000" w:rsidDel="00000000" w:rsidP="00000000" w:rsidRDefault="00000000" w:rsidRPr="00000000" w14:paraId="0000000D">
      <w:pPr>
        <w:spacing w:after="280" w:before="280" w:line="240" w:lineRule="auto"/>
        <w:ind w:left="284" w:firstLine="0"/>
        <w:jc w:val="both"/>
        <w:rPr>
          <w:rFonts w:ascii="Arial" w:cs="Arial" w:eastAsia="Arial" w:hAnsi="Arial"/>
          <w:color w:val="000000"/>
          <w:sz w:val="20"/>
          <w:szCs w:val="20"/>
        </w:rPr>
      </w:pPr>
      <w:r w:rsidDel="00000000" w:rsidR="00000000" w:rsidRPr="00000000">
        <w:rPr>
          <w:rFonts w:ascii="Calibri" w:cs="Calibri" w:eastAsia="Calibri" w:hAnsi="Calibri"/>
          <w:sz w:val="24"/>
          <w:szCs w:val="24"/>
          <w:rtl w:val="0"/>
        </w:rPr>
        <w:t xml:space="preserve">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00" w:line="240" w:lineRule="auto"/>
        <w:rPr>
          <w:rFonts w:ascii="Arial" w:cs="Arial" w:eastAsia="Arial" w:hAnsi="Arial"/>
          <w:color w:val="000000"/>
          <w:sz w:val="20"/>
          <w:szCs w:val="20"/>
        </w:rPr>
      </w:pPr>
      <w:r w:rsidDel="00000000" w:rsidR="00000000" w:rsidRPr="00000000">
        <w:rPr>
          <w:rFonts w:ascii="Arial" w:cs="Arial" w:eastAsia="Arial" w:hAnsi="Arial"/>
          <w:sz w:val="20"/>
          <w:szCs w:val="20"/>
        </w:rPr>
        <w:drawing>
          <wp:inline distB="114300" distT="114300" distL="114300" distR="114300">
            <wp:extent cx="5731200" cy="3124200"/>
            <wp:effectExtent b="0" l="0" r="0" t="0"/>
            <wp:docPr id="32483210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0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Observations drawn from reports in Power BI can provide valuable insights into business performance and trends.</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0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0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pStyle w:val="Heading3"/>
        <w:keepNext w:val="0"/>
        <w:keepLines w:val="0"/>
        <w:spacing w:line="240" w:lineRule="auto"/>
        <w:ind w:left="720" w:hanging="360"/>
        <w:rPr>
          <w:rFonts w:ascii="Times New Roman" w:cs="Times New Roman" w:eastAsia="Times New Roman" w:hAnsi="Times New Roman"/>
          <w:sz w:val="26"/>
          <w:szCs w:val="26"/>
        </w:rPr>
      </w:pPr>
      <w:bookmarkStart w:colFirst="0" w:colLast="0" w:name="_heading=h.7htckkt7mgke" w:id="0"/>
      <w:bookmarkEnd w:id="0"/>
      <w:r w:rsidDel="00000000" w:rsidR="00000000" w:rsidRPr="00000000">
        <w:rPr>
          <w:rFonts w:ascii="Times New Roman" w:cs="Times New Roman" w:eastAsia="Times New Roman" w:hAnsi="Times New Roman"/>
          <w:sz w:val="26"/>
          <w:szCs w:val="26"/>
          <w:rtl w:val="0"/>
        </w:rPr>
        <w:t xml:space="preserve">1. Trends Analysis</w:t>
      </w:r>
    </w:p>
    <w:p w:rsidR="00000000" w:rsidDel="00000000" w:rsidP="00000000" w:rsidRDefault="00000000" w:rsidRPr="00000000" w14:paraId="00000013">
      <w:pPr>
        <w:numPr>
          <w:ilvl w:val="0"/>
          <w:numId w:val="4"/>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BI time series and trend visualizations reveal changes in inflation rates across years (1980–2024), highlighting both long-term patterns and sudden spikes caused by economic crises or policy shifts. This helps anticipate potential inflationary cycles and prepare for future economic volatility.</w:t>
      </w:r>
    </w:p>
    <w:p w:rsidR="00000000" w:rsidDel="00000000" w:rsidP="00000000" w:rsidRDefault="00000000" w:rsidRPr="00000000" w14:paraId="00000014">
      <w:pPr>
        <w:pStyle w:val="Heading3"/>
        <w:keepNext w:val="0"/>
        <w:keepLines w:val="0"/>
        <w:spacing w:line="240" w:lineRule="auto"/>
        <w:ind w:left="720" w:hanging="360"/>
        <w:rPr>
          <w:rFonts w:ascii="Times New Roman" w:cs="Times New Roman" w:eastAsia="Times New Roman" w:hAnsi="Times New Roman"/>
          <w:sz w:val="26"/>
          <w:szCs w:val="26"/>
        </w:rPr>
      </w:pPr>
      <w:bookmarkStart w:colFirst="0" w:colLast="0" w:name="_heading=h.urby983zp5bi" w:id="1"/>
      <w:bookmarkEnd w:id="1"/>
      <w:r w:rsidDel="00000000" w:rsidR="00000000" w:rsidRPr="00000000">
        <w:rPr>
          <w:rFonts w:ascii="Times New Roman" w:cs="Times New Roman" w:eastAsia="Times New Roman" w:hAnsi="Times New Roman"/>
          <w:sz w:val="26"/>
          <w:szCs w:val="26"/>
          <w:rtl w:val="0"/>
        </w:rPr>
        <w:t xml:space="preserve">2. Performance Benchmarking</w:t>
      </w:r>
    </w:p>
    <w:p w:rsidR="00000000" w:rsidDel="00000000" w:rsidP="00000000" w:rsidRDefault="00000000" w:rsidRPr="00000000" w14:paraId="00000015">
      <w:pPr>
        <w:numPr>
          <w:ilvl w:val="0"/>
          <w:numId w:val="5"/>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visualize how different countries and regions perform in terms of inflation control. For instance, South America and parts of Africa show significantly higher inflation rates compared to North America and Europe, enabling meaningful benchmarking between regions.</w:t>
      </w:r>
    </w:p>
    <w:p w:rsidR="00000000" w:rsidDel="00000000" w:rsidP="00000000" w:rsidRDefault="00000000" w:rsidRPr="00000000" w14:paraId="00000016">
      <w:pPr>
        <w:pStyle w:val="Heading3"/>
        <w:keepNext w:val="0"/>
        <w:keepLines w:val="0"/>
        <w:spacing w:line="240" w:lineRule="auto"/>
        <w:ind w:left="720" w:hanging="360"/>
        <w:rPr>
          <w:rFonts w:ascii="Times New Roman" w:cs="Times New Roman" w:eastAsia="Times New Roman" w:hAnsi="Times New Roman"/>
          <w:sz w:val="26"/>
          <w:szCs w:val="26"/>
        </w:rPr>
      </w:pPr>
      <w:bookmarkStart w:colFirst="0" w:colLast="0" w:name="_heading=h.qkxcxyrco8i" w:id="2"/>
      <w:bookmarkEnd w:id="2"/>
      <w:r w:rsidDel="00000000" w:rsidR="00000000" w:rsidRPr="00000000">
        <w:rPr>
          <w:rFonts w:ascii="Times New Roman" w:cs="Times New Roman" w:eastAsia="Times New Roman" w:hAnsi="Times New Roman"/>
          <w:sz w:val="26"/>
          <w:szCs w:val="26"/>
          <w:rtl w:val="0"/>
        </w:rPr>
        <w:t xml:space="preserve">3. Anomaly Detection</w:t>
      </w:r>
    </w:p>
    <w:p w:rsidR="00000000" w:rsidDel="00000000" w:rsidP="00000000" w:rsidRDefault="00000000" w:rsidRPr="00000000" w14:paraId="00000017">
      <w:pPr>
        <w:numPr>
          <w:ilvl w:val="0"/>
          <w:numId w:val="3"/>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or extreme inflation cases—such as Venezuela’s hyperinflation—are quickly identified, allowing for deeper investigation into the economic and political factors behind these anomalies.</w:t>
      </w:r>
    </w:p>
    <w:p w:rsidR="00000000" w:rsidDel="00000000" w:rsidP="00000000" w:rsidRDefault="00000000" w:rsidRPr="00000000" w14:paraId="00000018">
      <w:pPr>
        <w:pStyle w:val="Heading3"/>
        <w:keepNext w:val="0"/>
        <w:keepLines w:val="0"/>
        <w:spacing w:line="240" w:lineRule="auto"/>
        <w:ind w:left="720" w:hanging="360"/>
        <w:rPr>
          <w:rFonts w:ascii="Times New Roman" w:cs="Times New Roman" w:eastAsia="Times New Roman" w:hAnsi="Times New Roman"/>
          <w:sz w:val="26"/>
          <w:szCs w:val="26"/>
        </w:rPr>
      </w:pPr>
      <w:bookmarkStart w:colFirst="0" w:colLast="0" w:name="_heading=h.yoj7luua6yrh" w:id="3"/>
      <w:bookmarkEnd w:id="3"/>
      <w:r w:rsidDel="00000000" w:rsidR="00000000" w:rsidRPr="00000000">
        <w:rPr>
          <w:rFonts w:ascii="Times New Roman" w:cs="Times New Roman" w:eastAsia="Times New Roman" w:hAnsi="Times New Roman"/>
          <w:sz w:val="26"/>
          <w:szCs w:val="26"/>
          <w:rtl w:val="0"/>
        </w:rPr>
        <w:t xml:space="preserve">4. Continuous Improvement</w:t>
      </w:r>
    </w:p>
    <w:p w:rsidR="00000000" w:rsidDel="00000000" w:rsidP="00000000" w:rsidRDefault="00000000" w:rsidRPr="00000000" w14:paraId="00000019">
      <w:pPr>
        <w:numPr>
          <w:ilvl w:val="0"/>
          <w:numId w:val="2"/>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monitoring of inflation trends provides insights into the effectiveness of economic policies. This feedback loop allows analysts to assess the impact of interventions like interest rate adjustments, currency reforms, and fiscal policies.</w:t>
      </w:r>
    </w:p>
    <w:p w:rsidR="00000000" w:rsidDel="00000000" w:rsidP="00000000" w:rsidRDefault="00000000" w:rsidRPr="00000000" w14:paraId="0000001A">
      <w:pPr>
        <w:pStyle w:val="Heading3"/>
        <w:keepNext w:val="0"/>
        <w:keepLines w:val="0"/>
        <w:spacing w:line="240" w:lineRule="auto"/>
        <w:ind w:left="720" w:hanging="360"/>
        <w:rPr>
          <w:rFonts w:ascii="Times New Roman" w:cs="Times New Roman" w:eastAsia="Times New Roman" w:hAnsi="Times New Roman"/>
          <w:sz w:val="26"/>
          <w:szCs w:val="26"/>
        </w:rPr>
      </w:pPr>
      <w:bookmarkStart w:colFirst="0" w:colLast="0" w:name="_heading=h.ohrqf5lg82pd" w:id="4"/>
      <w:bookmarkEnd w:id="4"/>
      <w:r w:rsidDel="00000000" w:rsidR="00000000" w:rsidRPr="00000000">
        <w:rPr>
          <w:rFonts w:ascii="Times New Roman" w:cs="Times New Roman" w:eastAsia="Times New Roman" w:hAnsi="Times New Roman"/>
          <w:sz w:val="26"/>
          <w:szCs w:val="26"/>
          <w:rtl w:val="0"/>
        </w:rPr>
        <w:t xml:space="preserve">Example Insights from the Dashboard</w:t>
      </w:r>
    </w:p>
    <w:p w:rsidR="00000000" w:rsidDel="00000000" w:rsidP="00000000" w:rsidRDefault="00000000" w:rsidRPr="00000000" w14:paraId="0000001B">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Country Inflation Dominance</w:t>
        <w:br w:type="textWrapping"/>
      </w:r>
    </w:p>
    <w:p w:rsidR="00000000" w:rsidDel="00000000" w:rsidP="00000000" w:rsidRDefault="00000000" w:rsidRPr="00000000" w14:paraId="0000001C">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Venezuela leads with the highest total inflation rate (91,877.80), far surpassing Congo (35,624.30) and Nicaragua (30,426.90). Venezuela alone accounts for 58.18% of the total inflation sum among the top countries.</w:t>
        <w:br w:type="textWrapping"/>
      </w:r>
    </w:p>
    <w:p w:rsidR="00000000" w:rsidDel="00000000" w:rsidP="00000000" w:rsidRDefault="00000000" w:rsidRPr="00000000" w14:paraId="0000001D">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Inflation Category Comparison</w:t>
        <w:br w:type="textWrapping"/>
      </w:r>
    </w:p>
    <w:p w:rsidR="00000000" w:rsidDel="00000000" w:rsidP="00000000" w:rsidRDefault="00000000" w:rsidRPr="00000000" w14:paraId="0000001E">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inflation category shows a total inflation sum of</w:t>
      </w:r>
      <w:r w:rsidDel="00000000" w:rsidR="00000000" w:rsidRPr="00000000">
        <w:rPr>
          <w:rFonts w:ascii="Times New Roman" w:cs="Times New Roman" w:eastAsia="Times New Roman" w:hAnsi="Times New Roman"/>
          <w:b w:val="1"/>
          <w:sz w:val="24"/>
          <w:szCs w:val="24"/>
          <w:rtl w:val="0"/>
        </w:rPr>
        <w:t xml:space="preserve"> 3,64,127.87</w:t>
      </w:r>
      <w:r w:rsidDel="00000000" w:rsidR="00000000" w:rsidRPr="00000000">
        <w:rPr>
          <w:rFonts w:ascii="Times New Roman" w:cs="Times New Roman" w:eastAsia="Times New Roman" w:hAnsi="Times New Roman"/>
          <w:sz w:val="24"/>
          <w:szCs w:val="24"/>
          <w:rtl w:val="0"/>
        </w:rPr>
        <w:t xml:space="preserve">, which is </w:t>
      </w:r>
      <w:r w:rsidDel="00000000" w:rsidR="00000000" w:rsidRPr="00000000">
        <w:rPr>
          <w:rFonts w:ascii="Times New Roman" w:cs="Times New Roman" w:eastAsia="Times New Roman" w:hAnsi="Times New Roman"/>
          <w:b w:val="1"/>
          <w:sz w:val="24"/>
          <w:szCs w:val="24"/>
          <w:rtl w:val="0"/>
        </w:rPr>
        <w:t xml:space="preserve">2,64,412.47%</w:t>
      </w:r>
      <w:r w:rsidDel="00000000" w:rsidR="00000000" w:rsidRPr="00000000">
        <w:rPr>
          <w:rFonts w:ascii="Times New Roman" w:cs="Times New Roman" w:eastAsia="Times New Roman" w:hAnsi="Times New Roman"/>
          <w:sz w:val="24"/>
          <w:szCs w:val="24"/>
          <w:rtl w:val="0"/>
        </w:rPr>
        <w:t xml:space="preserve"> higher than the “Low” category (137.66).</w:t>
        <w:br w:type="textWrapping"/>
      </w:r>
    </w:p>
    <w:p w:rsidR="00000000" w:rsidDel="00000000" w:rsidP="00000000" w:rsidRDefault="00000000" w:rsidRPr="00000000" w14:paraId="0000001F">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Regional Distribution</w:t>
        <w:br w:type="textWrapping"/>
      </w:r>
    </w:p>
    <w:p w:rsidR="00000000" w:rsidDel="00000000" w:rsidP="00000000" w:rsidRDefault="00000000" w:rsidRPr="00000000" w14:paraId="00000020">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America and parts of Africa dominate the higher inflation spectrum, whereas North America and parts of Europe maintain consistently low inflation rates.</w:t>
        <w:br w:type="textWrapping"/>
      </w:r>
    </w:p>
    <w:p w:rsidR="00000000" w:rsidDel="00000000" w:rsidP="00000000" w:rsidRDefault="00000000" w:rsidRPr="00000000" w14:paraId="00000021">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 Inflation Distribution</w:t>
        <w:br w:type="textWrapping"/>
      </w:r>
    </w:p>
    <w:p w:rsidR="00000000" w:rsidDel="00000000" w:rsidP="00000000" w:rsidRDefault="00000000" w:rsidRPr="00000000" w14:paraId="00000022">
      <w:pPr>
        <w:numPr>
          <w:ilvl w:val="1"/>
          <w:numId w:val="1"/>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inflation falls into the “High” category, indicating a significant portion of countries have faced prolonged or extreme inflationary pressures in the dataset.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738B3"/>
    <w:rPr>
      <w:color w:val="0563c1" w:themeColor="hyperlink"/>
      <w:u w:val="single"/>
    </w:rPr>
  </w:style>
  <w:style w:type="table" w:styleId="a" w:customStyle="1">
    <w:basedOn w:val="TableNormal"/>
    <w:pPr>
      <w:spacing w:after="0" w:line="240" w:lineRule="auto"/>
    </w:pPr>
    <w:tblPr>
      <w:tblStyleRowBandSize w:val="1"/>
      <w:tblStyleColBandSize w:val="1"/>
    </w:tblPr>
  </w:style>
  <w:style w:type="paragraph" w:styleId="NormalWeb">
    <w:name w:val="Normal (Web)"/>
    <w:basedOn w:val="Normal"/>
    <w:uiPriority w:val="99"/>
    <w:semiHidden w:val="1"/>
    <w:unhideWhenUsed w:val="1"/>
    <w:rsid w:val="00A2069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20696"/>
    <w:rPr>
      <w:b w:val="1"/>
      <w:bCs w:val="1"/>
    </w:rPr>
  </w:style>
  <w:style w:type="paragraph" w:styleId="ListParagraph">
    <w:name w:val="List Paragraph"/>
    <w:basedOn w:val="Normal"/>
    <w:uiPriority w:val="34"/>
    <w:qFormat w:val="1"/>
    <w:rsid w:val="0064217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Hwk6kSiwob7pdEf8wWn9OpEfmA==">CgMxLjAyDmguN2h0Y2trdDdtZ2tlMg5oLnVyYnk5ODN6cDViaTINaC5xa3hjeHlyY284aTIOaC55b2o3bHV1YTZ5cmgyDmgub2hycWY1bGc4MnBkOAByITFCaDZtcEczZVU5V1JTU2FiZl8wTDBMQkZ1REZ1ZGhOSg==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2024-01-13T08:53:00Z</dcterms:created>
  <dc:creator>SmarBridge ML</dc:creator>
</cp:coreProperties>
</file>