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TAXMESH — API Architecture &amp; Developer Guide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Microservices · Contract Catalog · Filing Workflow · Data-flow APIs · API Testing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Version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1.2</w:t>
      </w:r>
      <w:r>
        <w:rPr>
          <w:rFonts w:ascii="Calibri" w:cs="Calibri" w:eastAsia="Calibri" w:hAnsi="Calibri"/>
          <w:sz w:val="20"/>
          <w:szCs w:val="20"/>
        </w:rPr>
        <w:t xml:space="preserve"> | Aligned to running TaxMesh demo | Local development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Document purpose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This guide is the developer-facing reference for TaxMesh: logical architecture, workspace codes, gateway routes, filing orchestration, contracts CT-00…CT-17,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downstream / upstream</w:t>
      </w:r>
      <w:r>
        <w:rPr>
          <w:rFonts w:ascii="Calibri" w:cs="Calibri" w:eastAsia="Calibri" w:hAnsi="Calibri"/>
          <w:sz w:val="20"/>
          <w:szCs w:val="20"/>
        </w:rPr>
        <w:t xml:space="preserve"> data-flow APIs, reverse-contract interactions, Excel uploads, quality gates, TAX/ALC business validation, errors, and automation.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Accuracy:</w:t>
      </w:r>
      <w:r>
        <w:rPr>
          <w:rFonts w:ascii="Calibri" w:cs="Calibri" w:eastAsia="Calibri" w:hAnsi="Calibri"/>
          <w:sz w:val="20"/>
          <w:szCs w:val="20"/>
        </w:rPr>
        <w:t xml:space="preserve"> Paths and behaviors match the current codebase (</w:t>
      </w:r>
      <w:r>
        <w:rPr>
          <w:rFonts w:ascii="Consolas" w:cs="Consolas" w:eastAsia="Consolas" w:hAnsi="Consolas"/>
          <w:sz w:val="18"/>
          <w:szCs w:val="18"/>
        </w:rPr>
        <w:t xml:space="preserve">gateway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services/*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shared/*</w:t>
      </w:r>
      <w:r>
        <w:rPr>
          <w:rFonts w:ascii="Calibri" w:cs="Calibri" w:eastAsia="Calibri" w:hAnsi="Calibri"/>
          <w:sz w:val="20"/>
          <w:szCs w:val="20"/>
        </w:rPr>
        <w:t xml:space="preserve">). Letter aliases A–E and legacy codes (CEM/MAD/CAM/TIM/RPAM/FORMS) are accepted on the gateway proxy.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Contents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1. Platform overview and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2. Microservices and ports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3. Filing workflow and orchestration endpoints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4. Downstream / upstream data-flow APIs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5. Contract catalog CT-00 through CT-17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6. How producer-consumer calls work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7. Reverse (upstream) contracts and issue resolution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8. Excel templates and upload APIs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9. Quality gates and business validations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10. Gateway and service-level endpoints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11. Error handling and troubleshooting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12. API automation and CI validation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13. Security, observability and production-readiness checklist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14. Related files and quick reference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1. Platform overview and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TaxMesh supports a Form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1065</w:t>
      </w:r>
      <w:r>
        <w:rPr>
          <w:rFonts w:ascii="Calibri" w:cs="Calibri" w:eastAsia="Calibri" w:hAnsi="Calibri"/>
          <w:sz w:val="20"/>
          <w:szCs w:val="20"/>
        </w:rPr>
        <w:t xml:space="preserve"> tax filing journey: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CLM → MDM → ACC → TAX → ALC → DOC / E-file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Workspace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 Management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CLM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Master Data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Accounting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Computation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Allocations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Forms &amp; Documents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The gateway runs on 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4100</w:t>
      </w:r>
      <w:r>
        <w:rPr>
          <w:rFonts w:ascii="Calibri" w:cs="Calibri" w:eastAsia="Calibri" w:hAnsi="Calibri"/>
          <w:sz w:val="20"/>
          <w:szCs w:val="20"/>
        </w:rPr>
        <w:t xml:space="preserve"> and provides the SPA, filing orchestration,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data-flow APIs</w:t>
      </w:r>
      <w:r>
        <w:rPr>
          <w:rFonts w:ascii="Calibri" w:cs="Calibri" w:eastAsia="Calibri" w:hAnsi="Calibri"/>
          <w:sz w:val="20"/>
          <w:szCs w:val="20"/>
        </w:rPr>
        <w:t xml:space="preserve">, service proxy, health checks, contract discovery, and Swagger/OpenAPI.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Upload-driven flow (primary UI path):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1. Upload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CLM + MDM</w:t>
      </w:r>
      <w:r>
        <w:rPr>
          <w:rFonts w:ascii="Calibri" w:cs="Calibri" w:eastAsia="Calibri" w:hAnsi="Calibri"/>
          <w:sz w:val="20"/>
          <w:szCs w:val="20"/>
        </w:rPr>
        <w:t xml:space="preserve"> → consumed by ACC and TAX.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2. Upload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ACC</w:t>
      </w:r>
      <w:r>
        <w:rPr>
          <w:rFonts w:ascii="Calibri" w:cs="Calibri" w:eastAsia="Calibri" w:hAnsi="Calibri"/>
          <w:sz w:val="20"/>
          <w:szCs w:val="20"/>
        </w:rPr>
        <w:t xml:space="preserve"> → joins CLM + MDM, pushes into TAX and ALC.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3. TAX + ALC calculate (validated) → DOC package.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Service-letter mapping: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= MDM, B = ACC, C = TAX, D = ALC, E = DOC</w:t>
      </w:r>
      <w:r>
        <w:rPr>
          <w:rFonts w:ascii="Calibri" w:cs="Calibri" w:eastAsia="Calibri" w:hAnsi="Calibri"/>
          <w:sz w:val="20"/>
          <w:szCs w:val="20"/>
        </w:rPr>
        <w:t xml:space="preserve">. CLM has no letter. Prefer </w:t>
      </w:r>
      <w:r>
        <w:rPr>
          <w:rFonts w:ascii="Consolas" w:cs="Consolas" w:eastAsia="Consolas" w:hAnsi="Consolas"/>
          <w:sz w:val="18"/>
          <w:szCs w:val="18"/>
        </w:rPr>
        <w:t xml:space="preserve">/api/proxy/MDM/…</w:t>
      </w:r>
      <w:r>
        <w:rPr>
          <w:rFonts w:ascii="Calibri" w:cs="Calibri" w:eastAsia="Calibri" w:hAnsi="Calibri"/>
          <w:sz w:val="20"/>
          <w:szCs w:val="20"/>
        </w:rP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/api/proxy/A/…</w:t>
      </w:r>
      <w:r>
        <w:rPr>
          <w:rFonts w:ascii="Calibri" w:cs="Calibri" w:eastAsia="Calibri" w:hAnsi="Calibri"/>
          <w:sz w:val="20"/>
          <w:szCs w:val="20"/>
        </w:rPr>
        <w:t xml:space="preserve"> equivalently. Legacy </w:t>
      </w:r>
      <w:r>
        <w:rPr>
          <w:rFonts w:ascii="Consolas" w:cs="Consolas" w:eastAsia="Consolas" w:hAnsi="Consolas"/>
          <w:sz w:val="18"/>
          <w:szCs w:val="18"/>
        </w:rPr>
        <w:t xml:space="preserve">/api/proxy/MAD/…</w:t>
      </w:r>
      <w:r>
        <w:rPr>
          <w:rFonts w:ascii="Calibri" w:cs="Calibri" w:eastAsia="Calibri" w:hAnsi="Calibri"/>
          <w:sz w:val="20"/>
          <w:szCs w:val="20"/>
        </w:rPr>
        <w:t xml:space="preserve"> still resolves to MDM.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2. Microservices and ports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 / 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Letter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 base URL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UI, filing, flow APIs, proxy, Swagger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http://127.0.0.1:4100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 Management — engagement, entity name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http://127.0.0.1:4101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Master Data — entities, tax attributes, ownership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http://127.0.0.1:4102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4103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Accounting — trial balance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http://127.0.0.1:4103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Computation + business validation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http://127.0.0.1:4104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Allocations + business validation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http://127.0.0.1:4105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4106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Forms &amp; Documents — 1065 package and e-file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http://127.0.0.1:4106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Gateway entry points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Swagger UI:      http://127.0.0.1:4100/api-docs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OpenAPI JSON:    http://127.0.0.1:4100/openapi.json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Gateway health:  http://127.0.0.1:4100/api/health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Architecture:    http://127.0.0.1:4100/api/architecture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Data flow:       http://127.0.0.1:4100/api/flow</w:t>
      </w:r>
    </w:p>
    <w:p/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Swagger behind tunnels:</w:t>
      </w:r>
      <w:r>
        <w:rPr>
          <w:rFonts w:ascii="Calibri" w:cs="Calibri" w:eastAsia="Calibri" w:hAnsi="Calibri"/>
          <w:sz w:val="20"/>
          <w:szCs w:val="20"/>
        </w:rPr>
        <w:t xml:space="preserve"> OpenAPI defaults to same-origin server </w:t>
      </w:r>
      <w:r>
        <w:rPr>
          <w:rFonts w:ascii="Consolas" w:cs="Consolas" w:eastAsia="Consolas" w:hAnsi="Consolas"/>
          <w:sz w:val="18"/>
          <w:szCs w:val="18"/>
        </w:rPr>
        <w:t xml:space="preserve">/</w:t>
      </w:r>
      <w:r>
        <w:rPr>
          <w:rFonts w:ascii="Calibri" w:cs="Calibri" w:eastAsia="Calibri" w:hAnsi="Calibri"/>
          <w:sz w:val="20"/>
          <w:szCs w:val="20"/>
        </w:rPr>
        <w:t xml:space="preserve"> so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Try it out</w:t>
      </w:r>
      <w:r>
        <w:rPr>
          <w:rFonts w:ascii="Calibri" w:cs="Calibri" w:eastAsia="Calibri" w:hAnsi="Calibri"/>
          <w:sz w:val="20"/>
          <w:szCs w:val="20"/>
        </w:rPr>
        <w:t xml:space="preserve"> uses the public host (e.g. </w:t>
      </w:r>
      <w:r>
        <w:rPr>
          <w:rFonts w:ascii="Consolas" w:cs="Consolas" w:eastAsia="Consolas" w:hAnsi="Consolas"/>
          <w:sz w:val="18"/>
          <w:szCs w:val="18"/>
        </w:rPr>
        <w:t xml:space="preserve">*.trycloudflare.com</w:t>
      </w:r>
      <w:r>
        <w:rPr>
          <w:rFonts w:ascii="Calibri" w:cs="Calibri" w:eastAsia="Calibri" w:hAnsi="Calibri"/>
          <w:sz w:val="20"/>
          <w:szCs w:val="20"/>
        </w:rPr>
        <w:t xml:space="preserve">). Optional: </w:t>
      </w:r>
      <w:r>
        <w:rPr>
          <w:rFonts w:ascii="Consolas" w:cs="Consolas" w:eastAsia="Consolas" w:hAnsi="Consolas"/>
          <w:sz w:val="18"/>
          <w:szCs w:val="18"/>
        </w:rPr>
        <w:t xml:space="preserve">PUBLIC_BASE_URL=https://your-host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3. Filing workflow and orchestration endpoints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Filing orchestration is exposed at </w:t>
      </w:r>
      <w:r>
        <w:rPr>
          <w:rFonts w:ascii="Consolas" w:cs="Consolas" w:eastAsia="Consolas" w:hAnsi="Consolas"/>
          <w:sz w:val="18"/>
          <w:szCs w:val="18"/>
        </w:rPr>
        <w:t xml:space="preserve">/api/filing/*</w:t>
      </w:r>
      <w:r>
        <w:rPr>
          <w:rFonts w:ascii="Calibri" w:cs="Calibri" w:eastAsia="Calibri" w:hAnsi="Calibri"/>
          <w:sz w:val="20"/>
          <w:szCs w:val="20"/>
        </w:rPr>
        <w:t xml:space="preserve"> on the gateway.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Engagement snapshot, steps, gates, issues, dataFlow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`/api/filing/reset`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Blank reset — clears banner + uploads + calcs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`/api/filing/run/{stepId}`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Run one step: cem, setup, books, tax, allocate, forms, efile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`/api/filing/run-all`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Load demo seed then full journey through MeF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`/api/filing/process-flow`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Re-run TAX → ALC → DOC after uploads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`/api/filing/data-flow`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Consumption graph for UI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`/api/filing/form1065`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Form lines, K-1s, package, e-file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`/api/filing/gates`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AQG1–AQG5 quality gate state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`/api/filing/jobs`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Asynchronous job history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`/api/filing/issues/{id}/resolve`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Resolve a reverse-contract issue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`/api/filing/entity`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Update entity fields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`/api/filing/datasets`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List five demo Excel datasets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`/api/filing/upload/clm`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Upload CLM `.xlsx`; multipart field `file`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`/api/filing/upload/mdm`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Upload MDM `.xlsx`; sheets Entity and Partners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`/api/filing/upload/acc`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Upload ACC `.xlsx`; TrialBalance → auto TAX/ALC/DOC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`/api/filing/validate/tax`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business validation report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`/api/filing/validate/alc`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business validation report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`/api/filing/tax/calculate`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Execute TAX calculation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`/api/filing/alc/allocate`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Execute ALC allocations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Legacy upload paths </w:t>
      </w:r>
      <w:r>
        <w:rPr>
          <w:rFonts w:ascii="Consolas" w:cs="Consolas" w:eastAsia="Consolas" w:hAnsi="Consolas"/>
          <w:sz w:val="18"/>
          <w:szCs w:val="18"/>
        </w:rPr>
        <w:t xml:space="preserve">/upload/cem|mad|cam</w:t>
      </w:r>
      <w:r>
        <w:rPr>
          <w:rFonts w:ascii="Calibri" w:cs="Calibri" w:eastAsia="Calibri" w:hAnsi="Calibri"/>
          <w:sz w:val="20"/>
          <w:szCs w:val="20"/>
        </w:rPr>
        <w:t xml:space="preserve"> map to CLM/MDM/ACC.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Examples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-X POST "http://127.0.0.1:4100/api/filing/run/tax"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-X POST "http://127.0.0.1:4100/api/filing/run-all"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-X POST "http://127.0.0.1:4100/api/filing/reset"</w:t>
      </w:r>
    </w:p>
    <w:p/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Reset behavior:</w:t>
      </w:r>
      <w:r>
        <w:rPr>
          <w:rFonts w:ascii="Calibri" w:cs="Calibri" w:eastAsia="Calibri" w:hAnsi="Calibri"/>
          <w:sz w:val="20"/>
          <w:szCs w:val="20"/>
        </w:rPr>
        <w:t xml:space="preserve"> engagement, project, entity name, EIN, tax year, and package become empty (</w:t>
      </w:r>
      <w:r>
        <w:rPr>
          <w:rFonts w:ascii="Consolas" w:cs="Consolas" w:eastAsia="Consolas" w:hAnsi="Consolas"/>
          <w:sz w:val="18"/>
          <w:szCs w:val="18"/>
        </w:rPr>
        <w:t xml:space="preserve">—</w:t>
      </w:r>
      <w:r>
        <w:rPr>
          <w:rFonts w:ascii="Calibri" w:cs="Calibri" w:eastAsia="Calibri" w:hAnsi="Calibri"/>
          <w:sz w:val="20"/>
          <w:szCs w:val="20"/>
        </w:rPr>
        <w:t xml:space="preserve"> in UI). Module cards return to empty/blocked until Excel is uploaded again.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4. Downstream / upstream data-flow APIs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Forward along the journey (producer earlier → consumer later)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Reverse / feedback ask (`direction: reverse` in the contract catalog)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Gateway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Full catalog — peers, edges, endpoint map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`/api/flow/edges?direction=`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Filter edges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`/api/flow/downstream/{from}/{to}`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Pair payloads (sample + live)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`/api/flow/upstream/{from}/{to}`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 pair payloads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`/api/contracts?direction=&amp;producer=&amp;consumer=`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Filter CT list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 service (`/api/proxy/{CLM\|MDM\|ACC\|TAX\|ALC\|DOC}/…`)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`/flow`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This service’s down/up peers and contracts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`/contracts/downstream`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Direction-scoped catalog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`/contracts/upstream`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Direction-scoped catalog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`/downstream/{peer}`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 payloads to peer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`/upstream/{peer}`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 upstream payloads to peer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`/consume/downstream`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Batch-pull all downstream inputs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`/consume/upstream`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Batch-pull all upstream inputs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`/pipeline?direction=`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Reachability (optional filter)</w:t>
            </w:r>
          </w:p>
        </w:tc>
      </w:tr>
    </w:tbl>
    <w:p/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http://127.0.0.1:4100/api/flow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http://127.0.0.1:4100/api/flow/downstream/MDM/TAX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http://127.0.0.1:4100/api/proxy/MDM/downstream/TAX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http://127.0.0.1:4100/api/proxy/TAX/upstream/MDM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http://127.0.0.1:4100/api/proxy/TAX/consume/downstream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Counts: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</w:t>
      </w:r>
      <w:r>
        <w:rPr>
          <w:rFonts w:ascii="Calibri" w:cs="Calibri" w:eastAsia="Calibri" w:hAnsi="Calibri"/>
          <w:sz w:val="20"/>
          <w:szCs w:val="20"/>
        </w:rPr>
        <w:t xml:space="preserve"> downstream +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8</w:t>
      </w:r>
      <w:r>
        <w:rPr>
          <w:rFonts w:ascii="Calibri" w:cs="Calibri" w:eastAsia="Calibri" w:hAnsi="Calibri"/>
          <w:sz w:val="20"/>
          <w:szCs w:val="20"/>
        </w:rPr>
        <w:t xml:space="preserve"> upstream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18</w:t>
      </w:r>
      <w:r>
        <w:rPr>
          <w:rFonts w:ascii="Calibri" w:cs="Calibri" w:eastAsia="Calibri" w:hAnsi="Calibri"/>
          <w:sz w:val="20"/>
          <w:szCs w:val="20"/>
        </w:rPr>
        <w:t xml:space="preserve"> contracts (CT-00…CT-17).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5. Contract catalog: CT-00 through CT-17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Producer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Consumer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Direction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Gateway endpoint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`/api/proxy/CLM/contracts/ct-00/engagement-context`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Engagement / project / job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/ B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`/api/proxy/A/contracts/ct-01/entities`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Entities for account mapping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`/api/proxy/A/contracts/ct-02/tax-attributes`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Entity tax attributes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CT-03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`/api/proxy/A/contracts/ct-03/ownership`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Partner ownership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`/api/proxy/A/contracts/ct-04/filing-meta`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Filing metadata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CT-05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/ B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`/api/proxy/B/contracts/ct-05/mapping-gaps`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Missing entity/account codes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CT-06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/ B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`/api/proxy/B/contracts/ct-06/book-balances`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Book account balances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/ B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`/api/proxy/B/contracts/ct-07/capital-map`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Capital account mappings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CT-08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`/api/proxy/C/contracts/ct-08/attribute-gaps`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attribute corrections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CT-09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/ B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`/api/proxy/C/contracts/ct-09/btt-asks`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Book-to-tax reconciliation asks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`/api/proxy/C/contracts/ct-10/taxable-income`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Taxable income buckets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`/api/proxy/C/contracts/ct-11/tax-summary`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computation summary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`/api/proxy/D/contracts/ct-12/ownership-issues`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Ownership validation issues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CT-13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`/api/proxy/D/contracts/ct-13/allocation-needs`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Adjusted tax amount needs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`/api/proxy/D/contracts/ct-14/partner-allocations`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Partner allocations / K-1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CT-15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 / 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`/api/proxy/E/contracts/ct-15/entity-print-needs`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Legal name / EIN for forms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CT-16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/ 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`/api/proxy/E/contracts/ct-16/tax-line-needs`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line amounts for forms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/ 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/ 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Upstream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`/api/proxy/E/contracts/ct-17/capital-restatement`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Partner capital restatement</w:t>
            </w:r>
          </w:p>
        </w:tc>
      </w:tr>
    </w:tbl>
    <w:p/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6. How producer-consumer API calls work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Producer endpoint: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/api/proxy/{producer}/contracts/ct-XX/...</w:t>
      </w:r>
      <w:r>
        <w:rPr>
          <w:rFonts w:ascii="Calibri" w:cs="Calibri" w:eastAsia="Calibri" w:hAnsi="Calibri"/>
          <w:sz w:val="20"/>
          <w:szCs w:val="20"/>
        </w:rPr>
        <w:t xml:space="preserve"> returns a payload owned by the producer.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Consumer endpoint: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/api/proxy/{consumer}/consume/{contractId}</w:t>
      </w:r>
      <w:r>
        <w:rPr>
          <w:rFonts w:ascii="Calibri" w:cs="Calibri" w:eastAsia="Calibri" w:hAnsi="Calibri"/>
          <w:sz w:val="20"/>
          <w:szCs w:val="20"/>
        </w:rPr>
        <w:t xml:space="preserve"> pulls a contract it consumes.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Pipeline endpoint: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/api/proxy/{service}/pipeline</w:t>
      </w:r>
      <w:r>
        <w:rPr>
          <w:rFonts w:ascii="Calibri" w:cs="Calibri" w:eastAsia="Calibri" w:hAnsi="Calibri"/>
          <w:sz w:val="20"/>
          <w:szCs w:val="20"/>
        </w:rPr>
        <w:t xml:space="preserve"> checks reachability for contracts that service consumes.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Peer flow: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/api/proxy/{from}/downstream/{to}</w:t>
      </w:r>
      <w:r>
        <w:rPr>
          <w:rFonts w:ascii="Calibri" w:cs="Calibri" w:eastAsia="Calibri" w:hAnsi="Calibri"/>
          <w:sz w:val="20"/>
          <w:szCs w:val="20"/>
        </w:rP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/upstream/{to}</w:t>
      </w:r>
      <w:r>
        <w:rPr>
          <w:rFonts w:ascii="Calibri" w:cs="Calibri" w:eastAsia="Calibri" w:hAnsi="Calibri"/>
          <w:sz w:val="20"/>
          <w:szCs w:val="20"/>
        </w:rPr>
        <w:t xml:space="preserve"> returns all contracts on that edge.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Example: ACC → TAX via CT-06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http://127.0.0.1:4100/api/proxy/B/contracts/ct-06/book-balances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http://127.0.0.1:4100/api/proxy/C/consume/CT-06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http://127.0.0.1:4100/api/proxy/C/pipeline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http://127.0.0.1:4100/api/flow/downstream/ACC/TAX</w:t>
      </w:r>
    </w:p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Example CT-11 tax summary payload (sample shape)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"contractId": "CT-11",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"engagementId": "ENG-2025-1065-001",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"entityId": "ENT-ALPHA-LP",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"taxSummary": {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  "federalTaxableIncome": 1197000,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  "stateApportionment": { "NY": 0.62, "CA": 0.38 },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  "status": "computed",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  "version": "TIM-2025.1"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"producer": "TAX",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"consumer": "DOC",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"direction": "downstream",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"flow": "downstream"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Live amounts after Excel upload come from the filing engine, not only the static sample.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7. Reverse (upstream) contracts and issue resolution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Flow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Typical issue / requirement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 → 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Entity or account mapping gap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→ 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attribute correction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CT-09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→ ACC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Book-to-tax reconciliation request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→ 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Ownership validation issue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CT-13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ALC → TAX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Adjusted tax amount needed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→ 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Legal name / EIN needed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→ TAX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line amounts needed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CT-17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 → ALC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Partner capital restatement needed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Recommended sequence:</w:t>
      </w:r>
      <w:r>
        <w:rPr>
          <w:rFonts w:ascii="Calibri" w:cs="Calibri" w:eastAsia="Calibri" w:hAnsi="Calibri"/>
          <w:sz w:val="20"/>
          <w:szCs w:val="20"/>
        </w:rPr>
        <w:t xml:space="preserve"> inspect issue → correct owning service data → </w:t>
      </w:r>
      <w:r>
        <w:rPr>
          <w:rFonts w:ascii="Consolas" w:cs="Consolas" w:eastAsia="Consolas" w:hAnsi="Consolas"/>
          <w:sz w:val="18"/>
          <w:szCs w:val="18"/>
        </w:rPr>
        <w:t xml:space="preserve">POST /api/filing/issues/{id}/resolve</w:t>
      </w:r>
      <w:r>
        <w:rPr>
          <w:rFonts w:ascii="Calibri" w:cs="Calibri" w:eastAsia="Calibri" w:hAnsi="Calibri"/>
          <w:sz w:val="20"/>
          <w:szCs w:val="20"/>
        </w:rPr>
        <w:t xml:space="preserve"> → revalidate / re-run affected steps → confirm downstream artifact.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8. Excel templates and upload APIs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Workbook / sheet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Required columns or rules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`clm.xlsx` · Engagement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clientId, engagementId, projectId, entityGroupId, jobId, entityName, taxYear, dueDate, formType, jurisdiction, states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`mdm.xlsx` · Entity + Partners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Entity + partners; ownership totals 100%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`acc.xlsx` · TrialBalance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accountCode, accountName, bookAmount, schedule (driver codes 4000/5000/6100/6200 used by TAX)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Five demo data sets: </w:t>
      </w:r>
      <w:r>
        <w:rPr>
          <w:rFonts w:ascii="Consolas" w:cs="Consolas" w:eastAsia="Consolas" w:hAnsi="Consolas"/>
          <w:sz w:val="18"/>
          <w:szCs w:val="18"/>
        </w:rPr>
        <w:t xml:space="preserve">testdata/set-01</w:t>
      </w:r>
      <w:r>
        <w:rPr>
          <w:rFonts w:ascii="Calibri" w:cs="Calibri" w:eastAsia="Calibri" w:hAnsi="Calibri"/>
          <w:sz w:val="20"/>
          <w:szCs w:val="20"/>
        </w:rPr>
        <w:t xml:space="preserve"> … </w:t>
      </w:r>
      <w:r>
        <w:rPr>
          <w:rFonts w:ascii="Consolas" w:cs="Consolas" w:eastAsia="Consolas" w:hAnsi="Consolas"/>
          <w:sz w:val="18"/>
          <w:szCs w:val="18"/>
        </w:rPr>
        <w:t xml:space="preserve">testdata/set-05</w:t>
      </w:r>
      <w:r>
        <w:rPr>
          <w:rFonts w:ascii="Calibri" w:cs="Calibri" w:eastAsia="Calibri" w:hAnsi="Calibri"/>
          <w:sz w:val="20"/>
          <w:szCs w:val="20"/>
        </w:rPr>
        <w:t xml:space="preserve">. Regenerate: </w:t>
      </w:r>
      <w:r>
        <w:rPr>
          <w:rFonts w:ascii="Consolas" w:cs="Consolas" w:eastAsia="Consolas" w:hAnsi="Consolas"/>
          <w:sz w:val="18"/>
          <w:szCs w:val="18"/>
        </w:rPr>
        <w:t xml:space="preserve">npm run generate:excel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set-01</w:t>
      </w:r>
      <w:r>
        <w:rPr>
          <w:rFonts w:ascii="Calibri" w:cs="Calibri" w:eastAsia="Calibri" w:hAnsi="Calibri"/>
          <w:sz w:val="20"/>
          <w:szCs w:val="20"/>
        </w:rPr>
        <w:t xml:space="preserve"> — compact baseline (2 partners, 7 TB accounts)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set-02…05</w:t>
      </w:r>
      <w:r>
        <w:rPr>
          <w:rFonts w:ascii="Calibri" w:cs="Calibri" w:eastAsia="Calibri" w:hAnsi="Calibri"/>
          <w:sz w:val="20"/>
          <w:szCs w:val="20"/>
        </w:rPr>
        <w:t xml:space="preserve"> — dynamic partners (3–5) and full Schedule L/K/M-1 trial balance (~26 accounts)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Entity name</w:t>
      </w:r>
      <w:r>
        <w:rPr>
          <w:rFonts w:ascii="Calibri" w:cs="Calibri" w:eastAsia="Calibri" w:hAnsi="Calibri"/>
          <w:sz w:val="20"/>
          <w:szCs w:val="20"/>
        </w:rPr>
        <w:t xml:space="preserve"> is established by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CLM</w:t>
      </w:r>
      <w:r>
        <w:rPr>
          <w:rFonts w:ascii="Calibri" w:cs="Calibri" w:eastAsia="Calibri" w:hAnsi="Calibri"/>
          <w:sz w:val="20"/>
          <w:szCs w:val="20"/>
        </w:rPr>
        <w:t xml:space="preserve"> upload (</w:t>
      </w:r>
      <w:r>
        <w:rPr>
          <w:rFonts w:ascii="Consolas" w:cs="Consolas" w:eastAsia="Consolas" w:hAnsi="Consolas"/>
          <w:sz w:val="18"/>
          <w:szCs w:val="18"/>
        </w:rPr>
        <w:t xml:space="preserve">entityName</w:t>
      </w:r>
      <w:r>
        <w:rPr>
          <w:rFonts w:ascii="Calibri" w:cs="Calibri" w:eastAsia="Calibri" w:hAnsi="Calibri"/>
          <w:sz w:val="20"/>
          <w:szCs w:val="20"/>
        </w:rPr>
        <w:t xml:space="preserve">) and shown on the engagement banner. MDM supplies EIN and partner capital detail.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CLM upload example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curl -X POST "http://127.0.0.1:4100/api/filing/upload/clm" \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-F "file=@testdata/set-01/clm.xlsx"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Multipart field name is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`file`</w:t>
      </w:r>
      <w:r>
        <w:rPr>
          <w:rFonts w:ascii="Calibri" w:cs="Calibri" w:eastAsia="Calibri" w:hAnsi="Calibri"/>
          <w:sz w:val="20"/>
          <w:szCs w:val="20"/>
        </w:rPr>
        <w:t xml:space="preserve">. Also: </w:t>
      </w:r>
      <w:r>
        <w:rPr>
          <w:rFonts w:ascii="Consolas" w:cs="Consolas" w:eastAsia="Consolas" w:hAnsi="Consolas"/>
          <w:sz w:val="18"/>
          <w:szCs w:val="18"/>
        </w:rPr>
        <w:t xml:space="preserve">/api/filing/upload/mdm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/api/filing/upload/acc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Direct service upload routes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CLM:  POST http://127.0.0.1:4101/upload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MDM:  POST http://127.0.0.1:4102/upload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ACC:  POST http://127.0.0.1:4103/upload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ZIP downloads: </w:t>
      </w:r>
      <w:r>
        <w:rPr>
          <w:rFonts w:ascii="Consolas" w:cs="Consolas" w:eastAsia="Consolas" w:hAnsi="Consolas"/>
          <w:sz w:val="18"/>
          <w:szCs w:val="18"/>
        </w:rPr>
        <w:t xml:space="preserve">/download/testdata.zip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/download/testdata/set-01.zip</w:t>
      </w:r>
      <w:r>
        <w:rPr>
          <w:rFonts w:ascii="Calibri" w:cs="Calibri" w:eastAsia="Calibri" w:hAnsi="Calibri"/>
          <w:sz w:val="20"/>
          <w:szCs w:val="20"/>
        </w:rPr>
        <w:t xml:space="preserve">, 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9. Quality gates and business validations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Boundary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Validation focus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CLM → MDM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Engagement/entity identity and master data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MDM/ACC → TAX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Ownership, accounts, mapping readiness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AQG3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calculation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M-1 identity, tax computation status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 → ALC → DOC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Allocation / K-1 reconcile to TAX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AQG5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Full transaction / MeF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End-to-end filing readiness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TAX business validation (examples)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CLM / MDM / ACC prerequisites present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Tax year and EIN format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Account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4000</w:t>
      </w:r>
      <w:r>
        <w:rPr>
          <w:rFonts w:ascii="Calibri" w:cs="Calibri" w:eastAsia="Calibri" w:hAnsi="Calibri"/>
          <w:sz w:val="20"/>
          <w:szCs w:val="20"/>
        </w:rPr>
        <w:t xml:space="preserve"> required; 5000 / 6100 / 6200 recommended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No duplicate account codes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State apportionment factors sum to 1.00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Schedule M-1 rolls to ordinary business income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APIs: </w:t>
      </w:r>
      <w:r>
        <w:rPr>
          <w:rFonts w:ascii="Consolas" w:cs="Consolas" w:eastAsia="Consolas" w:hAnsi="Consolas"/>
          <w:sz w:val="18"/>
          <w:szCs w:val="18"/>
        </w:rPr>
        <w:t xml:space="preserve">GET /api/filing/validate/tax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POST /api/filing/tax/calculate</w:t>
      </w:r>
      <w:r>
        <w:rPr>
          <w:rFonts w:ascii="Calibri" w:cs="Calibri" w:eastAsia="Calibri" w:hAnsi="Calibri"/>
          <w:sz w:val="20"/>
          <w:szCs w:val="20"/>
        </w:rPr>
        <w:t xml:space="preserve">, or TAX service </w:t>
      </w:r>
      <w:r>
        <w:rPr>
          <w:rFonts w:ascii="Consolas" w:cs="Consolas" w:eastAsia="Consolas" w:hAnsi="Consolas"/>
          <w:sz w:val="18"/>
          <w:szCs w:val="18"/>
        </w:rPr>
        <w:t xml:space="preserve">GET /validate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POST /calculate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ALC business validation (examples)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≥ 2 partners; unique partner / capital IDs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Ownership, profit, and loss % each total 100%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Allocated ordinary (and GP) reconcile to TAX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Capital rollforward consistency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APIs: </w:t>
      </w:r>
      <w:r>
        <w:rPr>
          <w:rFonts w:ascii="Consolas" w:cs="Consolas" w:eastAsia="Consolas" w:hAnsi="Consolas"/>
          <w:sz w:val="18"/>
          <w:szCs w:val="18"/>
        </w:rPr>
        <w:t xml:space="preserve">GET /api/filing/validate/alc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POST /api/filing/alc/allocate</w:t>
      </w:r>
      <w:r>
        <w:rPr>
          <w:rFonts w:ascii="Calibri" w:cs="Calibri" w:eastAsia="Calibri" w:hAnsi="Calibri"/>
          <w:sz w:val="20"/>
          <w:szCs w:val="20"/>
        </w:rPr>
        <w:t xml:space="preserve">, or ALC service </w:t>
      </w:r>
      <w:r>
        <w:rPr>
          <w:rFonts w:ascii="Consolas" w:cs="Consolas" w:eastAsia="Consolas" w:hAnsi="Consolas"/>
          <w:sz w:val="18"/>
          <w:szCs w:val="18"/>
        </w:rPr>
        <w:t xml:space="preserve">GET /validate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POST /allocate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Failed validation returns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HTTP 422</w:t>
      </w:r>
      <w:r>
        <w:rPr>
          <w:rFonts w:ascii="Calibri" w:cs="Calibri" w:eastAsia="Calibri" w:hAnsi="Calibri"/>
          <w:sz w:val="20"/>
          <w:szCs w:val="20"/>
        </w:rPr>
        <w:t xml:space="preserve"> with a findings list and does not advance DOC until corrected.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10. Gateway and common service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`/api/health`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 and services health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`/api/architecture`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Services, contract catalog, matrix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Downstream + upstream catalog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`/api/contracts`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Filtered contract list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`/api/contracts/{id}`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Contract metadata and sample payload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`/openapi.json`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OpenAPI 3.0 document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`/api-docs`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Swagger UI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service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`/health`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Liveness and contract IDs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service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`/contracts`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Produced/consumed lists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service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`/flow`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Direction peers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service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`/pipeline`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Reachability for consumed producers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Each service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`/consume/{contractId}`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Fetch a consumed producer payload</w:t>
            </w:r>
          </w:p>
        </w:tc>
      </w:tr>
      <w:tr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Producer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`/contracts/ct-XX/...`</w:t>
            </w:r>
          </w:p>
        </w:tc>
        <w:tc>
          <w:tcPr>
            <w:tcW w:type="dxa" w:w="22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Producer payload for a contract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Gateway proxy: </w:t>
      </w:r>
      <w:r>
        <w:rPr>
          <w:rFonts w:ascii="Consolas" w:cs="Consolas" w:eastAsia="Consolas" w:hAnsi="Consolas"/>
          <w:sz w:val="18"/>
          <w:szCs w:val="18"/>
        </w:rPr>
        <w:t xml:space="preserve">/api/proxy/{CLM|MDM|ACC|TAX|ALC|DOC|A|B|C|D|E|CEM|…}/…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Example: </w:t>
      </w:r>
      <w:r>
        <w:rPr>
          <w:rFonts w:ascii="Consolas" w:cs="Consolas" w:eastAsia="Consolas" w:hAnsi="Consolas"/>
          <w:sz w:val="18"/>
          <w:szCs w:val="18"/>
        </w:rPr>
        <w:t xml:space="preserve">GET /api/proxy/C/health</w:t>
      </w:r>
      <w:r>
        <w:rPr>
          <w:rFonts w:ascii="Calibri" w:cs="Calibri" w:eastAsia="Calibri" w:hAnsi="Calibri"/>
          <w:sz w:val="20"/>
          <w:szCs w:val="20"/>
        </w:rPr>
        <w:t xml:space="preserve"> ≡ </w:t>
      </w:r>
      <w:r>
        <w:rPr>
          <w:rFonts w:ascii="Consolas" w:cs="Consolas" w:eastAsia="Consolas" w:hAnsi="Consolas"/>
          <w:sz w:val="18"/>
          <w:szCs w:val="18"/>
        </w:rPr>
        <w:t xml:space="preserve">GET /api/proxy/TAX/health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11. Error handling and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HTTP status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400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Bad request / Excel / missing CLM before MDM or CLM+MDM before ACC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Fix upload order or file content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Unknown contract/service, or consume of a CT the service does not consume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Check IDs and consumer relationship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TAX/ALC business validation failed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Read `findings` / `validation` in body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Producer unreachable during consume or pipeline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Check producer health, port, logs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Unexpected server error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Inspect logs; correlate request</w:t>
            </w:r>
          </w:p>
        </w:tc>
      </w:tr>
    </w:tbl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Example error payload: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"error": "Producer unreachable",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"contractId": "CT-01",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"detail": "fetch failed"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/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12. API automation and CI validation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 suite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npm run test:contracts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Asserts producer endpoints return </w:t>
      </w:r>
      <w:r>
        <w:rPr>
          <w:rFonts w:ascii="Consolas" w:cs="Consolas" w:eastAsia="Consolas" w:hAnsi="Consolas"/>
          <w:sz w:val="18"/>
          <w:szCs w:val="18"/>
        </w:rPr>
        <w:t xml:space="preserve">contractId</w:t>
      </w:r>
      <w:r>
        <w:rPr>
          <w:rFonts w:ascii="Calibri" w:cs="Calibri" w:eastAsia="Calibri" w:hAnsi="Calibri"/>
          <w:sz w:val="20"/>
          <w:szCs w:val="20"/>
        </w:rPr>
        <w:t xml:space="preserve"> plus required payload keys.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Recommended automation layers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Coverage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1. Health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Gateway and all six services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 Producer contract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CT-00…CT-17 schema / IDs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3. Consumer integration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`/consume/{id}` and `/consume/downstream`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4. Upstream / reverse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Issue payloads and resolve workflow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5. Business validations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TAX/ALC validate + ownership / M-1 rules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6. End-to-end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Upload CLM→MDM→ACC → forms/package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7. Flow APIs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`/api/flow` and peer downstream/upstream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Playwright API test example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import { test, expect } from "@playwright/test";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const baseURL = "http://127.0.0.1:4100";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test("CT-11 tax summary contract is valid", async ({ request }) =&gt; {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const response = await request.get(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  `${baseURL}/api/proxy/C/contracts/ct-11/tax-summary`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expect(response.status()).toBe(200);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const body = await response.json();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expect(body.contractId).toBe("CT-11");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expect(body.taxSummary).toBeTruthy();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  expect(body.taxSummary.status).toBe("computed");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Avoid </w:t>
      </w:r>
      <w:r>
        <w:rPr>
          <w:rFonts w:ascii="Consolas" w:cs="Consolas" w:eastAsia="Consolas" w:hAnsi="Consolas"/>
          <w:sz w:val="18"/>
          <w:szCs w:val="18"/>
        </w:rPr>
        <w:t xml:space="preserve">POST /api/filing/reset</w:t>
      </w:r>
      <w:r>
        <w:rPr>
          <w:rFonts w:ascii="Calibri" w:cs="Calibri" w:eastAsia="Calibri" w:hAnsi="Calibri"/>
          <w:sz w:val="20"/>
          <w:szCs w:val="20"/>
        </w:rPr>
        <w:t xml:space="preserve"> against shared environments.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13. Security, observability and production-readiness checklist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Document authentication/authorization if required in deployed environments.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Keep OpenAPI schemas, required/nullable fields, and examples current.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Document job lifecycle, polling, timeouts, retries, terminal states.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Specify idempotency for filing operations.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Protect taxpayer data; mask identifiers in logs/reports.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Propagate correlation/request IDs across gateway and services.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Document timeouts, dependency health, and failure behavior.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Version contracts; define backward-compatibility rules.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Restrict demo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reset</w:t>
      </w:r>
      <w:r>
        <w:rPr>
          <w:rFonts w:ascii="Calibri" w:cs="Calibri" w:eastAsia="Calibri" w:hAnsi="Calibri"/>
          <w:sz w:val="20"/>
          <w:szCs w:val="20"/>
        </w:rPr>
        <w:t xml:space="preserve"> from production access.</w:t>
      </w:r>
    </w:p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- Use environment-specific base URLs — OpenAPI prefers same-origin </w:t>
      </w:r>
      <w:r>
        <w:rPr>
          <w:rFonts w:ascii="Consolas" w:cs="Consolas" w:eastAsia="Consolas" w:hAnsi="Consolas"/>
          <w:sz w:val="18"/>
          <w:szCs w:val="18"/>
        </w:rPr>
        <w:t xml:space="preserve">/</w:t>
      </w:r>
      <w:r>
        <w:rPr>
          <w:rFonts w:ascii="Calibri" w:cs="Calibri" w:eastAsia="Calibri" w:hAnsi="Calibri"/>
          <w:sz w:val="20"/>
          <w:szCs w:val="20"/>
        </w:rPr>
        <w:t xml:space="preserve"> behind proxies; set </w:t>
      </w:r>
      <w:r>
        <w:rPr>
          <w:rFonts w:ascii="Consolas" w:cs="Consolas" w:eastAsia="Consolas" w:hAnsi="Consolas"/>
          <w:sz w:val="18"/>
          <w:szCs w:val="18"/>
        </w:rPr>
        <w:t xml:space="preserve">PUBLIC_BASE_URL</w:t>
      </w:r>
      <w:r>
        <w:rPr>
          <w:rFonts w:ascii="Calibri" w:cs="Calibri" w:eastAsia="Calibri" w:hAnsi="Calibri"/>
          <w:sz w:val="20"/>
          <w:szCs w:val="20"/>
        </w:rPr>
        <w:t xml:space="preserve"> when needed.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3D"/>
          <w:sz w:val="26"/>
          <w:szCs w:val="26"/>
        </w:rPr>
        <w:t xml:space="preserve">14. Related files and quick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`APPLICATION_MANUAL.md`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Installation, UI walkthrough, demo script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`ARCHITECTURE.md`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Microservice and contract architecture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`API.md`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Condensed API reference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`../CASE_STUDY.md`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Business case-study brief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`../README.md`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Project overview &amp; quick start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`postman/TaxMesh.postman_collection.json`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Postman collection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`openapi.json`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Machine-readable OpenAPI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`testdata/set-0N/{clm,mdm,acc}.xlsx`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Demo Excel workbooks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Quick reference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Gateway:       http://127.0.0.1:4100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Swagger:       /api-docs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OpenAPI:       /openapi.json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Health:        /api/health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Architecture:  /api/architecture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Data flow:     /api/flow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Filing:        /api/filing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Upload:        /api/filing/upload/{clm|mdm|acc}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Validate TAX:  /api/filing/validate/tax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Validate ALC:  /api/filing/validate/alc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Contracts:     CT-00 through CT-17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Letters:       A=MDM B=ACC C=TAX D=ALC E=DOC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Codes:         CLM MDM ACC TAX ALC DOC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Contract test: npm run test:contracts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Excel regen:   npm run generate:excel</w:t>
      </w:r>
    </w:p>
    <w:p>
      <w:pPr>
        <w:shd w:fill="F3F4F6" w:val="clear"/>
      </w:pPr>
      <w:r>
        <w:rPr>
          <w:rFonts w:ascii="Consolas" w:cs="Consolas" w:eastAsia="Consolas" w:hAnsi="Consolas"/>
          <w:sz w:val="16"/>
          <w:szCs w:val="16"/>
        </w:rPr>
        <w:t xml:space="preserve">Guide DOCX:    npm run generate:guide</w:t>
      </w:r>
    </w:p>
    <w:p/>
    <w:p>
      <w:pPr>
        <w:spacing w:after="8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*End of document. Version 1.2 — CLM/MDM/ACC/TAX/ALC/DOC codes, clm/mdm/acc.xlsx testdata, downstream/upstream flow APIs, blank reset, entityName, TAX/ALC validation, A–E + legacy proxy aliases, tunnel-safe Swagger.*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TaxMesh API Architecture &amp; Developer Guide</dc:title>
  <dc:creator>TaxMesh</dc:creator>
  <dc:description>Microservices · Contract Catalog · Filing Workflow · API Testing</dc:description>
  <cp:lastModifiedBy>Un-named</cp:lastModifiedBy>
  <cp:revision>1</cp:revision>
  <dcterms:created xsi:type="dcterms:W3CDTF">2026-10-26T10:03:21.416Z</dcterms:created>
  <dcterms:modified xsi:type="dcterms:W3CDTF">2026-10-26T10:03:21.419Z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