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TAXMESH — API Architecture &amp; Developer Guide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Microservices · Contract Catalog · Filing Workflow · API Testing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Version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1.1</w:t>
      </w:r>
      <w:r>
        <w:rPr>
          <w:rFonts w:ascii="Calibri" w:cs="Calibri" w:eastAsia="Calibri" w:hAnsi="Calibri"/>
          <w:sz w:val="20"/>
          <w:szCs w:val="20"/>
        </w:rPr>
        <w:t xml:space="preserve"> | Aligned to running TaxMesh demo | Local development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Document purpose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This guide is the developer-facing reference for TaxMesh: logical architecture, service responsibilities, gateway routes, filing orchestration, contracts CT-00…CT-17, reverse-contract interactions, Excel uploads, quality gates, TIM/RPAM business validation, errors, and automation.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Accuracy:</w:t>
      </w:r>
      <w:r>
        <w:rPr>
          <w:rFonts w:ascii="Calibri" w:cs="Calibri" w:eastAsia="Calibri" w:hAnsi="Calibri"/>
          <w:sz w:val="20"/>
          <w:szCs w:val="20"/>
        </w:rPr>
        <w:t xml:space="preserve"> Paths and behaviors below match the current codebase (</w:t>
      </w:r>
      <w:r>
        <w:rPr>
          <w:rFonts w:ascii="Consolas" w:cs="Consolas" w:eastAsia="Consolas" w:hAnsi="Consolas"/>
          <w:sz w:val="18"/>
          <w:szCs w:val="18"/>
        </w:rPr>
        <w:t xml:space="preserve">gateway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services/*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shared/*</w:t>
      </w:r>
      <w:r>
        <w:rPr>
          <w:rFonts w:ascii="Calibri" w:cs="Calibri" w:eastAsia="Calibri" w:hAnsi="Calibri"/>
          <w:sz w:val="20"/>
          <w:szCs w:val="20"/>
        </w:rPr>
        <w:t xml:space="preserve">). Letter aliases A–E are supported on the gateway proxy for guide compatibility.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Contents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Platform overview and architecture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2. Microservices and ports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3. Filing workflow and orchestration endpoints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4. Contract catalog CT-00 through CT-17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5. How producer-consumer calls work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6. Reverse contracts and issue resolution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7. Excel templates and upload APIs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8. Quality gates and business validations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9. Gateway and service-level endpoints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10. Error handling and troubleshooting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11. API automation and CI validation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12. Security, observability and production-readiness checklist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13. Related files and quick reference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1. Platform overview and architecture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TaxMesh supports a Form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1065</w:t>
      </w:r>
      <w:r>
        <w:rPr>
          <w:rFonts w:ascii="Calibri" w:cs="Calibri" w:eastAsia="Calibri" w:hAnsi="Calibri"/>
          <w:sz w:val="20"/>
          <w:szCs w:val="20"/>
        </w:rPr>
        <w:t xml:space="preserve"> tax filing journey: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CEM → MAD → CAM → TIM → RPAM → Forms Print / E-file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The gateway runs on port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4100</w:t>
      </w:r>
      <w:r>
        <w:rPr>
          <w:rFonts w:ascii="Calibri" w:cs="Calibri" w:eastAsia="Calibri" w:hAnsi="Calibri"/>
          <w:sz w:val="20"/>
          <w:szCs w:val="20"/>
        </w:rPr>
        <w:t xml:space="preserve"> and provides the SPA, filing orchestration, service proxy, health checks, contract discovery, and Swagger/OpenAPI.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Upload-driven flow (primary UI path):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Upload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CEM + MAD</w:t>
      </w:r>
      <w:r>
        <w:rPr>
          <w:rFonts w:ascii="Calibri" w:cs="Calibri" w:eastAsia="Calibri" w:hAnsi="Calibri"/>
          <w:sz w:val="20"/>
          <w:szCs w:val="20"/>
        </w:rPr>
        <w:t xml:space="preserve"> → consumed by CAM and TIM.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2. Upload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CAM</w:t>
      </w:r>
      <w:r>
        <w:rPr>
          <w:rFonts w:ascii="Calibri" w:cs="Calibri" w:eastAsia="Calibri" w:hAnsi="Calibri"/>
          <w:sz w:val="20"/>
          <w:szCs w:val="20"/>
        </w:rPr>
        <w:t xml:space="preserve"> → joins CEM + MAD, pushes into TIM and RPAM.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3. TIM + RPAM calculate (validated) → Forms Print package.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Service-letter mapping</w:t>
      </w:r>
      <w:r>
        <w:rPr>
          <w:rFonts w:ascii="Calibri" w:cs="Calibri" w:eastAsia="Calibri" w:hAnsi="Calibri"/>
          <w:sz w:val="20"/>
          <w:szCs w:val="20"/>
        </w:rPr>
        <w:t xml:space="preserve"> used by contract proxy routes: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= MAD, B = CAM, C = TIM, D = RPAM, E = FORMS</w:t>
      </w:r>
      <w:r>
        <w:rPr>
          <w:rFonts w:ascii="Calibri" w:cs="Calibri" w:eastAsia="Calibri" w:hAnsi="Calibri"/>
          <w:sz w:val="20"/>
          <w:szCs w:val="20"/>
        </w:rPr>
        <w:t xml:space="preserve">. CEM is a separate engagement service (no letter). Prefer </w:t>
      </w:r>
      <w:r>
        <w:rPr>
          <w:rFonts w:ascii="Consolas" w:cs="Consolas" w:eastAsia="Consolas" w:hAnsi="Consolas"/>
          <w:sz w:val="18"/>
          <w:szCs w:val="18"/>
        </w:rPr>
        <w:t xml:space="preserve">/api/proxy/MAD/…</w:t>
      </w:r>
      <w:r>
        <w:rPr>
          <w:rFonts w:ascii="Calibri" w:cs="Calibri" w:eastAsia="Calibri" w:hAnsi="Calibri"/>
          <w:sz w:val="20"/>
          <w:szCs w:val="20"/>
        </w:rP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/api/proxy/A/…</w:t>
      </w:r>
      <w:r>
        <w:rPr>
          <w:rFonts w:ascii="Calibri" w:cs="Calibri" w:eastAsia="Calibri" w:hAnsi="Calibri"/>
          <w:sz w:val="20"/>
          <w:szCs w:val="20"/>
        </w:rPr>
        <w:t xml:space="preserve"> equivalently.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2. Microservices and ports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 / 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Letter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Example base URL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UI, filing orchestration, proxy, Swagger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engagement, filing context, entity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 data, entities, tax attributes, ownership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Accounting and trial balance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engine + business validation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allocations + business validation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print, Form 1065 package and e-file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http://127.0.0.1:4106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Gateway entry points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Swagger UI:      http://127.0.0.1:4100/api-docs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OpenAPI JSON:    http://127.0.0.1:4100/openapi.json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Gateway health:  http://127.0.0.1:4100/api/health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Architecture:    http://127.0.0.1:4100/api/architecture</w:t>
      </w:r>
    </w:p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3. Filing workflow and orchestration endpoints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Filing orchestration is exposed at </w:t>
      </w:r>
      <w:r>
        <w:rPr>
          <w:rFonts w:ascii="Consolas" w:cs="Consolas" w:eastAsia="Consolas" w:hAnsi="Consolas"/>
          <w:sz w:val="18"/>
          <w:szCs w:val="18"/>
        </w:rPr>
        <w:t xml:space="preserve">/api/filing/*</w:t>
      </w:r>
      <w:r>
        <w:rPr>
          <w:rFonts w:ascii="Calibri" w:cs="Calibri" w:eastAsia="Calibri" w:hAnsi="Calibri"/>
          <w:sz w:val="20"/>
          <w:szCs w:val="20"/>
        </w:rPr>
        <w:t xml:space="preserve"> on the gateway.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Engagement snapshot, steps, gates, issues, dataFlow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`/api/filing/reset`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Blank reset (demo only) — clears banner + uploads + calcs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`/api/filing/run/{stepId}`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 one step: cem, setup, books, tax, allocate, forms, efile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`/api/filing/run-all`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demo seed then full journey through MeF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`/api/filing/process-flow`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Re-run TIM → RPAM → Forms after uploads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`/api/filing/data-flow`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Consumption graph for UI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`/api/filing/form1065`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 lines, K-1s, package, e-file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`/api/filing/gates`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AQG1–AQG5 quality gate state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`/api/filing/jobs`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Asynchronous job history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`/api/filing/issues/{id}/resolve`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Resolve a reverse-contract issue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`/api/filing/entity`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 entity fields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`/api/filing/datasets`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 five demo Excel datasets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`/api/filing/upload/cem`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CEM `.xlsx`; multipart field `file`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`/api/filing/upload/mad`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MAD `.xlsx`; sheets Entity and Partners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`/api/filing/upload/cam`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CAM `.xlsx`; sheet TrialBalance → auto TIM/RPAM/Forms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`/api/filing/validate/tim`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business validation report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`/api/filing/validate/rpam`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business validation report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`/api/filing/tim/calculate`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Execute TIM calculation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`/api/filing/rpam/allocate`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Execute RPAM allocations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-X POST "http://127.0.0.1:4100/api/filing/run/tax"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-X POST "http://127.0.0.1:4100/api/filing/run-all"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-X POST "http://127.0.0.1:4100/api/filing/reset"</w:t>
      </w:r>
    </w:p>
    <w:p/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Reset behavior:</w:t>
      </w:r>
      <w:r>
        <w:rPr>
          <w:rFonts w:ascii="Calibri" w:cs="Calibri" w:eastAsia="Calibri" w:hAnsi="Calibri"/>
          <w:sz w:val="20"/>
          <w:szCs w:val="20"/>
        </w:rPr>
        <w:t xml:space="preserve"> engagement, project, entity name, EIN, tax year, and package become empty (</w:t>
      </w:r>
      <w:r>
        <w:rPr>
          <w:rFonts w:ascii="Consolas" w:cs="Consolas" w:eastAsia="Consolas" w:hAnsi="Consolas"/>
          <w:sz w:val="18"/>
          <w:szCs w:val="18"/>
        </w:rPr>
        <w:t xml:space="preserve">—</w:t>
      </w:r>
      <w:r>
        <w:rPr>
          <w:rFonts w:ascii="Calibri" w:cs="Calibri" w:eastAsia="Calibri" w:hAnsi="Calibri"/>
          <w:sz w:val="20"/>
          <w:szCs w:val="20"/>
        </w:rPr>
        <w:t xml:space="preserve"> in UI). Module cards return to empty/blocked until Excel is uploaded again.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4. Contract catalog: CT-00 through CT-17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Downstream contracts provide business data to consumers. Reverse contracts provide gaps, requests, or correction requirements to upstream owners.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Consumer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Gateway endpoint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`/api/proxy/CEM/contracts/ct-00/engagement-context`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Engagement / project / job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/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`/api/proxy/A/contracts/ct-01/entities`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Entities for account mapping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`/api/proxy/A/contracts/ct-02/tax-attributes`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Entity tax attributes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`/api/proxy/A/contracts/ct-03/ownership`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ownership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`/api/proxy/A/contracts/ct-04/filing-meta`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Filing metadata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/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`/api/proxy/B/contracts/ct-05/mapping-gaps`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Missing entity/account codes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/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`/api/proxy/B/contracts/ct-06/book-balances`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 account balances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/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`/api/proxy/B/contracts/ct-07/capital-map`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Capital account mappings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`/api/proxy/C/contracts/ct-08/attribute-gaps`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attribute corrections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/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`/api/proxy/C/contracts/ct-09/btt-asks`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Book-to-tax reconciliation asks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`/api/proxy/C/contracts/ct-10/taxable-income`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Taxable income buckets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`/api/proxy/C/contracts/ct-11/tax-summary`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computation summary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`/api/proxy/D/contracts/ct-12/ownership-issues`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Ownership validation issues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`/api/proxy/D/contracts/ct-13/allocation-needs`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Adjusted tax amount needs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`/api/proxy/D/contracts/ct-14/partner-allocations`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allocations / K-1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`/api/proxy/E/contracts/ct-15/entity-print-needs`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Legal name / EIN for forms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`/api/proxy/E/contracts/ct-16/tax-line-needs`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line amounts for forms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`/api/proxy/E/contracts/ct-17/capital-restatement`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capital restatement</w:t>
            </w:r>
          </w:p>
        </w:tc>
      </w:tr>
    </w:tbl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5. How producer-consumer API calls work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Three concepts: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Producer endpoint: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/api/proxy/{producer}/contracts/ct-XX/...</w:t>
      </w:r>
      <w:r>
        <w:rPr>
          <w:rFonts w:ascii="Calibri" w:cs="Calibri" w:eastAsia="Calibri" w:hAnsi="Calibri"/>
          <w:sz w:val="20"/>
          <w:szCs w:val="20"/>
        </w:rPr>
        <w:t xml:space="preserve"> returns a payload owned by the producer.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Consumer endpoint: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/api/proxy/{consumer}/consume/{contractId}</w:t>
      </w:r>
      <w:r>
        <w:rPr>
          <w:rFonts w:ascii="Calibri" w:cs="Calibri" w:eastAsia="Calibri" w:hAnsi="Calibri"/>
          <w:sz w:val="20"/>
          <w:szCs w:val="20"/>
        </w:rPr>
        <w:t xml:space="preserve"> checks the consumer can pull a contract it consumes.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Pipeline endpoint: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/api/proxy/{service}/pipeline</w:t>
      </w:r>
      <w:r>
        <w:rPr>
          <w:rFonts w:ascii="Calibri" w:cs="Calibri" w:eastAsia="Calibri" w:hAnsi="Calibri"/>
          <w:sz w:val="20"/>
          <w:szCs w:val="20"/>
        </w:rPr>
        <w:t xml:space="preserve"> checks reachability for contracts that service consumes.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 CAM → TIM via CT-06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# 1. Inspect the producer payload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http://127.0.0.1:4100/api/proxy/B/contracts/ct-06/book-balances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# 2. Exercise the consumer-side contract call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http://127.0.0.1:4100/api/proxy/C/consume/CT-06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# 3. Check TIM's consumed-producer reachability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http://127.0.0.1:4100/api/proxy/C/pipeline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 CT-11 tax summary payload (sample shape)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"contractId": "CT-11",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"engagementId": "ENG-2025-1065-001",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"entityId": "ENT-ALPHA-LP",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"taxSummary": {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  "federalTaxableIncome": 1197000,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  "stateApportionment": { "NY": 0.62, "CA": 0.38 },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  "status": "computed",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  "version": "TIM-2025.1"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"producer": "TIM",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"consumer": "FORMS",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"direction": "downstream"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Live amounts after Excel upload come from the filing engine, not the static sample.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6. Reverse contracts and issue resolution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Reverse contract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Typical issue / requirement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→ 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Entity or account mapping gap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→ 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attribute correction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→ CAM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Book-to-tax reconciliation request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→ 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Ownership validation issue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→ TIM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Adjusted tax amount needed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→ 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Legal name / EIN needed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→ TIM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line amounts needed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→ RPAM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capital restatement needed</w:t>
            </w:r>
          </w:p>
        </w:tc>
      </w:tr>
    </w:tbl>
    <w:p/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Recommended sequence:</w:t>
      </w:r>
      <w:r>
        <w:rPr>
          <w:rFonts w:ascii="Calibri" w:cs="Calibri" w:eastAsia="Calibri" w:hAnsi="Calibri"/>
          <w:sz w:val="20"/>
          <w:szCs w:val="20"/>
        </w:rPr>
        <w:t xml:space="preserve"> inspect issue → correct owning service data → </w:t>
      </w:r>
      <w:r>
        <w:rPr>
          <w:rFonts w:ascii="Consolas" w:cs="Consolas" w:eastAsia="Consolas" w:hAnsi="Consolas"/>
          <w:sz w:val="18"/>
          <w:szCs w:val="18"/>
        </w:rPr>
        <w:t xml:space="preserve">POST /api/filing/issues/{id}/resolve</w:t>
      </w:r>
      <w:r>
        <w:rPr>
          <w:rFonts w:ascii="Calibri" w:cs="Calibri" w:eastAsia="Calibri" w:hAnsi="Calibri"/>
          <w:sz w:val="20"/>
          <w:szCs w:val="20"/>
        </w:rPr>
        <w:t xml:space="preserve"> → revalidate / re-run affected steps → confirm downstream artifact.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7. Excel templates and upload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Workbook / sheet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 columns or rules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`cem.xlsx` · Engagement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clientId, engagementId, projectId, entityGroupId, jobId, entityName, taxYear, dueDate, formType, jurisdiction, states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`mad.xlsx` · Entity + Partners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Entity + partners; ownership totals 100%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`cam.xlsx` · TrialBalance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accountCode, accountName, bookAmount, schedule (driver codes 4000/5000/6100/6200 used by TIM)</w:t>
            </w:r>
          </w:p>
        </w:tc>
      </w:tr>
    </w:tbl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Five demo data sets: </w:t>
      </w:r>
      <w:r>
        <w:rPr>
          <w:rFonts w:ascii="Consolas" w:cs="Consolas" w:eastAsia="Consolas" w:hAnsi="Consolas"/>
          <w:sz w:val="18"/>
          <w:szCs w:val="18"/>
        </w:rPr>
        <w:t xml:space="preserve">testdata/set-01</w:t>
      </w:r>
      <w:r>
        <w:rPr>
          <w:rFonts w:ascii="Calibri" w:cs="Calibri" w:eastAsia="Calibri" w:hAnsi="Calibri"/>
          <w:sz w:val="20"/>
          <w:szCs w:val="20"/>
        </w:rPr>
        <w:t xml:space="preserve"> … </w:t>
      </w:r>
      <w:r>
        <w:rPr>
          <w:rFonts w:ascii="Consolas" w:cs="Consolas" w:eastAsia="Consolas" w:hAnsi="Consolas"/>
          <w:sz w:val="18"/>
          <w:szCs w:val="18"/>
        </w:rPr>
        <w:t xml:space="preserve">testdata/set-05</w:t>
      </w:r>
      <w:r>
        <w:rPr>
          <w:rFonts w:ascii="Calibri" w:cs="Calibri" w:eastAsia="Calibri" w:hAnsi="Calibri"/>
          <w:sz w:val="20"/>
          <w:szCs w:val="20"/>
        </w:rPr>
        <w:t xml:space="preserve">. Regenerate: </w:t>
      </w:r>
      <w:r>
        <w:rPr>
          <w:rFonts w:ascii="Consolas" w:cs="Consolas" w:eastAsia="Consolas" w:hAnsi="Consolas"/>
          <w:sz w:val="18"/>
          <w:szCs w:val="18"/>
        </w:rPr>
        <w:t xml:space="preserve">npm run generate:excel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set-01</w:t>
      </w:r>
      <w:r>
        <w:rPr>
          <w:rFonts w:ascii="Calibri" w:cs="Calibri" w:eastAsia="Calibri" w:hAnsi="Calibri"/>
          <w:sz w:val="20"/>
          <w:szCs w:val="20"/>
        </w:rPr>
        <w:t xml:space="preserve"> — compact baseline (2 partners, 7 TB accounts)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set-02…05</w:t>
      </w:r>
      <w:r>
        <w:rPr>
          <w:rFonts w:ascii="Calibri" w:cs="Calibri" w:eastAsia="Calibri" w:hAnsi="Calibri"/>
          <w:sz w:val="20"/>
          <w:szCs w:val="20"/>
        </w:rPr>
        <w:t xml:space="preserve"> — dynamic partners (3–5) and full Schedule L/K/M-1 trial balance (~26 accounts)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Entity name</w:t>
      </w:r>
      <w:r>
        <w:rPr>
          <w:rFonts w:ascii="Calibri" w:cs="Calibri" w:eastAsia="Calibri" w:hAnsi="Calibri"/>
          <w:sz w:val="20"/>
          <w:szCs w:val="20"/>
        </w:rPr>
        <w:t xml:space="preserve"> is established by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CEM</w:t>
      </w:r>
      <w:r>
        <w:rPr>
          <w:rFonts w:ascii="Calibri" w:cs="Calibri" w:eastAsia="Calibri" w:hAnsi="Calibri"/>
          <w:sz w:val="20"/>
          <w:szCs w:val="20"/>
        </w:rPr>
        <w:t xml:space="preserve"> upload (</w:t>
      </w:r>
      <w:r>
        <w:rPr>
          <w:rFonts w:ascii="Consolas" w:cs="Consolas" w:eastAsia="Consolas" w:hAnsi="Consolas"/>
          <w:sz w:val="18"/>
          <w:szCs w:val="18"/>
        </w:rPr>
        <w:t xml:space="preserve">entityName</w:t>
      </w:r>
      <w:r>
        <w:rPr>
          <w:rFonts w:ascii="Calibri" w:cs="Calibri" w:eastAsia="Calibri" w:hAnsi="Calibri"/>
          <w:sz w:val="20"/>
          <w:szCs w:val="20"/>
        </w:rPr>
        <w:t xml:space="preserve">) and shown on the engagement banner and CEM flow card. MAD supplies EIN and partner capital detail.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CEM upload example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-X POST "http://127.0.0.1:4100/api/filing/upload/cem" \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-F "file=@testdata/set-01/cem.xlsx"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Multipart field name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`file`</w:t>
      </w:r>
      <w:r>
        <w:rPr>
          <w:rFonts w:ascii="Calibri" w:cs="Calibri" w:eastAsia="Calibri" w:hAnsi="Calibri"/>
          <w:sz w:val="20"/>
          <w:szCs w:val="20"/>
        </w:rPr>
        <w:t xml:space="preserve">. Equivalent: </w:t>
      </w:r>
      <w:r>
        <w:rPr>
          <w:rFonts w:ascii="Consolas" w:cs="Consolas" w:eastAsia="Consolas" w:hAnsi="Consolas"/>
          <w:sz w:val="18"/>
          <w:szCs w:val="18"/>
        </w:rPr>
        <w:t xml:space="preserve">/api/filing/upload/mad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/api/filing/upload/cam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 service upload routes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CEM:  POST http://127.0.0.1:4101/upload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MAD:  POST http://127.0.0.1:4102/upload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CAM:  POST http://127.0.0.1:4103/upload</w:t>
      </w:r>
    </w:p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8. Quality gates and business validations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Boundary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Validation focus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CEM → 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Engagement/entity identity and master data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MAD/CAM → TIM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Ownership, accounts, mapping readiness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calculation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M-1 identity, tax computation 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→ RPAM → Forms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Allocation / K-1 reconcile to TIM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Full transaction / MeF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End-to-end filing readiness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 business validation (examples)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CEM / MAD / CAM prerequisites present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Tax year and EIN format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Account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4000</w:t>
      </w:r>
      <w:r>
        <w:rPr>
          <w:rFonts w:ascii="Calibri" w:cs="Calibri" w:eastAsia="Calibri" w:hAnsi="Calibri"/>
          <w:sz w:val="20"/>
          <w:szCs w:val="20"/>
        </w:rPr>
        <w:t xml:space="preserve"> required; 5000 / 6100 / 6200 recommended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No duplicate account codes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State apportionment factors sum to 1.00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Schedule M-1 rolls to ordinary business income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APIs: </w:t>
      </w:r>
      <w:r>
        <w:rPr>
          <w:rFonts w:ascii="Consolas" w:cs="Consolas" w:eastAsia="Consolas" w:hAnsi="Consolas"/>
          <w:sz w:val="18"/>
          <w:szCs w:val="18"/>
        </w:rPr>
        <w:t xml:space="preserve">GET /api/filing/validate/tim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POST /api/filing/tim/calculate</w:t>
      </w:r>
      <w:r>
        <w:rPr>
          <w:rFonts w:ascii="Calibri" w:cs="Calibri" w:eastAsia="Calibri" w:hAnsi="Calibri"/>
          <w:sz w:val="20"/>
          <w:szCs w:val="20"/>
        </w:rPr>
        <w:t xml:space="preserve">, or TIM service </w:t>
      </w:r>
      <w:r>
        <w:rPr>
          <w:rFonts w:ascii="Consolas" w:cs="Consolas" w:eastAsia="Consolas" w:hAnsi="Consolas"/>
          <w:sz w:val="18"/>
          <w:szCs w:val="18"/>
        </w:rPr>
        <w:t xml:space="preserve">GET /validate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POST /calculate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RPAM business validation (examples)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≥ 2 partners; unique partner / capital IDs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Ownership, profit, and loss % each total 100%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Allocated ordinary (and GP) reconcile to TIM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Capital rollforward consistency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APIs: </w:t>
      </w:r>
      <w:r>
        <w:rPr>
          <w:rFonts w:ascii="Consolas" w:cs="Consolas" w:eastAsia="Consolas" w:hAnsi="Consolas"/>
          <w:sz w:val="18"/>
          <w:szCs w:val="18"/>
        </w:rPr>
        <w:t xml:space="preserve">GET /api/filing/validate/rpam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POST /api/filing/rpam/allocate</w:t>
      </w:r>
      <w:r>
        <w:rPr>
          <w:rFonts w:ascii="Calibri" w:cs="Calibri" w:eastAsia="Calibri" w:hAnsi="Calibri"/>
          <w:sz w:val="20"/>
          <w:szCs w:val="20"/>
        </w:rPr>
        <w:t xml:space="preserve">, or RPAM service </w:t>
      </w:r>
      <w:r>
        <w:rPr>
          <w:rFonts w:ascii="Consolas" w:cs="Consolas" w:eastAsia="Consolas" w:hAnsi="Consolas"/>
          <w:sz w:val="18"/>
          <w:szCs w:val="18"/>
        </w:rPr>
        <w:t xml:space="preserve">GET /validate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POST /allocate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Failed validation returns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HTTP 422</w:t>
      </w:r>
      <w:r>
        <w:rPr>
          <w:rFonts w:ascii="Calibri" w:cs="Calibri" w:eastAsia="Calibri" w:hAnsi="Calibri"/>
          <w:sz w:val="20"/>
          <w:szCs w:val="20"/>
        </w:rPr>
        <w:t xml:space="preserve"> with a findings list and does not advance Forms Print until corrected.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9. Gateway and common service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`/api/health`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 and services health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`/api/architecture`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Services, contract catalog, matrix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`/api/contracts/{id}`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Contract metadata and sample payload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`/openapi.json`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OpenAPI 3.0 document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`/api-docs`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Swagger UI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service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`/health`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Liveness and contract IDs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service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`/contracts`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Produced/consumed lists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service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`/pipeline`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Reachability for consumed producers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service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`/consume/{contractId}`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Fetch a consumed producer payload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`/contracts/ct-XX/...`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Producer payload for a contract</w:t>
            </w:r>
          </w:p>
        </w:tc>
      </w:tr>
    </w:tbl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Gateway proxy form: </w:t>
      </w:r>
      <w:r>
        <w:rPr>
          <w:rFonts w:ascii="Consolas" w:cs="Consolas" w:eastAsia="Consolas" w:hAnsi="Consolas"/>
          <w:sz w:val="18"/>
          <w:szCs w:val="18"/>
        </w:rPr>
        <w:t xml:space="preserve">/api/proxy/{CEM|MAD|CAM|TIM|RPAM|FORMS|A|B|C|D|E}/…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Example: </w:t>
      </w:r>
      <w:r>
        <w:rPr>
          <w:rFonts w:ascii="Consolas" w:cs="Consolas" w:eastAsia="Consolas" w:hAnsi="Consolas"/>
          <w:sz w:val="18"/>
          <w:szCs w:val="18"/>
        </w:rPr>
        <w:t xml:space="preserve">GET /api/proxy/C/health</w:t>
      </w:r>
      <w:r>
        <w:rPr>
          <w:rFonts w:ascii="Calibri" w:cs="Calibri" w:eastAsia="Calibri" w:hAnsi="Calibri"/>
          <w:sz w:val="20"/>
          <w:szCs w:val="20"/>
        </w:rPr>
        <w:t xml:space="preserve"> ≡ </w:t>
      </w:r>
      <w:r>
        <w:rPr>
          <w:rFonts w:ascii="Consolas" w:cs="Consolas" w:eastAsia="Consolas" w:hAnsi="Consolas"/>
          <w:sz w:val="18"/>
          <w:szCs w:val="18"/>
        </w:rPr>
        <w:t xml:space="preserve">GET /api/proxy/TIM/health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10. Error handling and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 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Bad request / Excel / missing CEM before MAD or CEM+MAD before CAM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Fix upload order or file content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Unknown contract/service, or consume of a CT the service does not consume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 IDs and consumer relationship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TIM/RPAM business validation failed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 `findings` / `validation` in body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Producer unreachable during consume or pipeline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 producer health, port, logs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Unexpected server error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Inspect logs; correlate request</w:t>
            </w:r>
          </w:p>
        </w:tc>
      </w:tr>
    </w:tbl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Example error payload: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"error": "Producer unreachable",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"contractId": "CT-01",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"detail": "fetch failed"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 failed request does not by itself prove a business transaction was rolled back.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11. API automation and CI validation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Contract suite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npm run test:contracts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Asserts producer endpoints return </w:t>
      </w:r>
      <w:r>
        <w:rPr>
          <w:rFonts w:ascii="Consolas" w:cs="Consolas" w:eastAsia="Consolas" w:hAnsi="Consolas"/>
          <w:sz w:val="18"/>
          <w:szCs w:val="18"/>
        </w:rPr>
        <w:t xml:space="preserve">contractId</w:t>
      </w:r>
      <w:r>
        <w:rPr>
          <w:rFonts w:ascii="Calibri" w:cs="Calibri" w:eastAsia="Calibri" w:hAnsi="Calibri"/>
          <w:sz w:val="20"/>
          <w:szCs w:val="20"/>
        </w:rPr>
        <w:t xml:space="preserve"> plus required payload keys.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Recommended automation layers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Health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 and all six services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Producer contract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CT-00…CT-17 schema / IDs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Consumer integration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`/consume/{id}` for configured contracts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Reverse-contract tests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Issue payloads and resolve workflow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Business validations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TIM/RPAM validate + ownership / M-1 rules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 End-to-end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CEM→MAD→CAM → forms/package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Playwright API test example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import { test, expect } from "@playwright/test";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const baseURL = "http://127.0.0.1:4100";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test("CT-11 tax summary contract is valid", async ({ request }) =&gt; {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const response = await request.get(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  `${baseURL}/api/proxy/C/contracts/ct-11/tax-summary`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expect(response.status()).toBe(200);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const body = await response.json();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expect(body.contractId).toBe("CT-11");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expect(body.taxSummary).toBeTruthy();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expect(body.taxSummary.status).toBe("computed");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Avoid </w:t>
      </w:r>
      <w:r>
        <w:rPr>
          <w:rFonts w:ascii="Consolas" w:cs="Consolas" w:eastAsia="Consolas" w:hAnsi="Consolas"/>
          <w:sz w:val="18"/>
          <w:szCs w:val="18"/>
        </w:rPr>
        <w:t xml:space="preserve">POST /api/filing/reset</w:t>
      </w:r>
      <w:r>
        <w:rPr>
          <w:rFonts w:ascii="Calibri" w:cs="Calibri" w:eastAsia="Calibri" w:hAnsi="Calibri"/>
          <w:sz w:val="20"/>
          <w:szCs w:val="20"/>
        </w:rPr>
        <w:t xml:space="preserve"> against shared environments.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12. Security, observability and production-readiness checklist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Document authentication/authorization if required in deployed environments.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Keep OpenAPI schemas, required/nullable fields, and examples current.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Document job lifecycle, polling, timeouts, retries, terminal states.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Specify idempotency for filing operations.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Protect taxpayer data; mask identifiers in logs/reports.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Propagate correlation/request IDs across gateway and services.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Document timeouts, dependency health, and failure behavior.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Version contracts; define backward-compatibility rules.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Restrict demo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reset</w:t>
      </w:r>
      <w:r>
        <w:rPr>
          <w:rFonts w:ascii="Calibri" w:cs="Calibri" w:eastAsia="Calibri" w:hAnsi="Calibri"/>
          <w:sz w:val="20"/>
          <w:szCs w:val="20"/>
        </w:rPr>
        <w:t xml:space="preserve"> from production access.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Use environment-specific base URLs — do not hardcode localhost in prod.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13. Related files and 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`APPLICATION_MANUAL.md`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Installation, UI walkthrough, demo script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`ARCHITECTURE.md`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Microservice and contract architecture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`API.md`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Condensed API reference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`CASE_STUDY.md`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case-study requirements (if present)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`postman/TaxMesh.postman_collection.json`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Postman collection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`openapi.json`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Machine-readable OpenAPI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`testdata/set-0N/*.xlsx`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Demo Excel workbooks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reference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Gateway:       http://127.0.0.1:4100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Swagger:       /api-docs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OpenAPI:       /openapi.json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Health:        /api/health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Architecture:  /api/architecture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Filing:        /api/filing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Validate TIM:  /api/filing/validate/tim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Validate RPAM: /api/filing/validate/rpam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Contracts:     CT-00 through CT-17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Letters:       A=MAD B=CAM C=TIM D=RPAM E=FORMS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Contract test: npm run test:contracts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Excel regen:   npm run generate:excel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*End of document. Version 1.1 — reflects upload-driven flow, blank reset, CEM entityName, TIM/RPAM business validation, and A–E proxy aliases.*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TaxMesh API Architecture &amp; Developer Guide</dc:title>
  <dc:creator>TaxMesh</dc:creator>
  <dc:description>Microservices · Contract Catalog · Filing Workflow · API Testing</dc:description>
  <cp:lastModifiedBy>Un-named</cp:lastModifiedBy>
  <cp:revision>1</cp:revision>
  <dcterms:created xsi:type="dcterms:W3CDTF">2026-10-26T06:41:53.642Z</dcterms:created>
  <dcterms:modified xsi:type="dcterms:W3CDTF">2026-10-26T06:41:53.644Z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