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left"/>
      </w:pPr>
      <w:r>
        <w:rPr>
          <w:b/>
          <w:color w:val="0F172A"/>
          <w:sz w:val="48"/>
        </w:rPr>
        <w:t>Mathematical Verification of Custom C++ Linear Layer</w:t>
      </w:r>
    </w:p>
    <w:p>
      <w:pPr>
        <w:spacing w:before="0" w:after="480"/>
      </w:pPr>
      <w:r>
        <w:rPr>
          <w:i/>
          <w:color w:val="475569"/>
          <w:sz w:val="28"/>
        </w:rPr>
        <w:t>Mapping Multi-Dimensional Machine Learning Calculus to Flattened Continuous Array Loops</w:t>
      </w:r>
    </w:p>
    <w:p>
      <w:pPr>
        <w:pStyle w:val="Heading1"/>
        <w:spacing w:before="360" w:after="160"/>
      </w:pPr>
      <w:r>
        <w:rPr>
          <w:rFonts w:ascii="Arial" w:hAnsi="Arial"/>
          <w:b/>
          <w:color w:val="1E293B"/>
          <w:sz w:val="32"/>
        </w:rPr>
        <w:t>1. Architectural Overview &amp; Matrix Dimensions</w:t>
      </w:r>
    </w:p>
    <w:p>
      <w:pPr>
        <w:spacing w:after="240" w:line="276" w:lineRule="auto"/>
      </w:pPr>
      <w:r>
        <w:t>In deep learning frameworks, high-level neural network operations are expressed using dense, multidimensional tensors. However, hardware execution subroutines written in native C++ or CUDA require these structures to be represented as flattened, continuous one-dimensional arrays in computer memory. This documentation maps the multi-loop algorithmic architecture of your custom Linear CPU layer directly to its analytical foundations in multivariate calculus and linear algebra.</w:t>
      </w:r>
    </w:p>
    <w:p>
      <w:pPr>
        <w:spacing w:after="120"/>
      </w:pPr>
      <w:r>
        <w:t>To bridge the gap between mathematical definitions and code indexing variables, we declare our structural components as uniform matrix spaces. Let:</w:t>
      </w:r>
    </w:p>
    <w:p>
      <w:pPr>
        <w:pStyle w:val="ListBullet"/>
      </w:pPr>
      <w:r>
        <w:rPr>
          <w:b/>
        </w:rPr>
        <w:t xml:space="preserve">X (passed as input pointer *inp): </w:t>
      </w:r>
      <w:r>
        <w:t>The dense input matrix of structural shape (B, N_in), where B represents the execution batch size and N_in represents the exact input feature dimension space.</w:t>
      </w:r>
    </w:p>
    <w:p>
      <w:pPr>
        <w:pStyle w:val="ListBullet"/>
      </w:pPr>
      <w:r>
        <w:rPr>
          <w:b/>
        </w:rPr>
        <w:t xml:space="preserve">W (passed as weights pointer *weights): </w:t>
      </w:r>
      <w:r>
        <w:t>The synaptic connection parameter matrix of structural shape (N_in, N_out), containing the linear weighting coefficients.</w:t>
      </w:r>
    </w:p>
    <w:p>
      <w:pPr>
        <w:pStyle w:val="ListBullet"/>
      </w:pPr>
      <w:r>
        <w:rPr>
          <w:b/>
        </w:rPr>
        <w:t xml:space="preserve">b (passed as bias pointer *bias): </w:t>
      </w:r>
      <w:r>
        <w:t>The parameter bias row vector of structural shape (1, N_out).</w:t>
      </w:r>
    </w:p>
    <w:p>
      <w:pPr>
        <w:pStyle w:val="ListBullet"/>
      </w:pPr>
      <w:r>
        <w:rPr>
          <w:b/>
        </w:rPr>
        <w:t xml:space="preserve">Y (passed as out pointer *out): </w:t>
      </w:r>
      <w:r>
        <w:t>The forward pass activation output space of shape (B, N_out). Crucially, inside backward and parameter update subroutines, this same storage memory location acts as the incoming loss gradient matrix dL/dY (often designated as delta or grad_out).</w:t>
      </w:r>
    </w:p>
    <w:p>
      <w:pPr>
        <w:pStyle w:val="Heading1"/>
        <w:spacing w:before="400" w:after="160"/>
      </w:pPr>
      <w:r>
        <w:rPr>
          <w:rFonts w:ascii="Arial" w:hAnsi="Arial"/>
          <w:b/>
          <w:color w:val="1E293B"/>
          <w:sz w:val="32"/>
        </w:rPr>
        <w:t>2. The Linear Forward Pass (linear_forward_cpu)</w:t>
      </w:r>
    </w:p>
    <w:p>
      <w:pPr>
        <w:spacing w:after="160"/>
      </w:pPr>
      <w:r>
        <w:t>The execution of a standard feedforward transformation passes input features through a matrix multiplication followed by an element-wise bias accumulation. The governing total matrix formulation is:</w:t>
      </w:r>
    </w:p>
    <w:tbl>
      <w:tblPr>
        <w:tblW w:type="auto" w:w="0"/>
        <w:jc w:val="center"/>
        <w:tblLayout w:type="fixed"/>
        <w:tblLook w:firstColumn="1" w:firstRow="1" w:lastColumn="0" w:lastRow="0" w:noHBand="0" w:noVBand="1" w:val="04A0"/>
      </w:tblPr>
      <w:tblGrid>
        <w:gridCol w:w="9360"/>
      </w:tblGrid>
      <w:tr>
        <w:tc>
          <w:tcPr>
            <w:tcW w:type="dxa" w:w="8640"/>
            <w:shd w:val="clear" w:color="auto" w:fill="F2F4F7"/>
            <w:tcMar>
              <w:top w:w="140" w:type="dxa"/>
              <w:bottom w:w="140" w:type="dxa"/>
              <w:left w:w="200" w:type="dxa"/>
              <w:right w:w="140" w:type="dxa"/>
            </w:tcMar>
            <w:tcBorders>
              <w:left w:val="single" w:sz="24" w:space="0" w:color="0052CC"/>
              <w:top w:val="none"/>
              <w:bottom w:val="none"/>
              <w:right w:val="none"/>
            </w:tcBorders>
          </w:tcPr>
          <w:p>
            <w:pPr>
              <w:spacing w:before="0" w:after="80"/>
            </w:pPr>
            <w:r>
              <w:rPr>
                <w:rFonts w:ascii="Arial" w:hAnsi="Arial"/>
                <w:b/>
                <w:color w:val="0052CC"/>
                <w:sz w:val="22"/>
              </w:rPr>
              <w:t>Matrix Formulation</w:t>
              <w:br/>
            </w:r>
          </w:p>
          <w:p>
            <w:pPr>
              <w:spacing w:before="0" w:after="80"/>
            </w:pPr>
            <w:r>
              <w:rPr>
                <w:rFonts w:ascii="Arial" w:hAnsi="Arial"/>
                <w:i/>
                <w:color w:val="334155"/>
                <w:sz w:val="20"/>
              </w:rPr>
              <w:t>Y = X * W + b</w:t>
            </w:r>
          </w:p>
        </w:tc>
      </w:tr>
    </w:tbl>
    <w:p>
      <w:pPr>
        <w:spacing w:after="160"/>
      </w:pPr>
      <w:r>
        <w:t>When evaluating this system at an atomic level for an individual data sample tracking index i and target output neuron destination index k, the equation evaluates as a scalar dot product:</w:t>
      </w:r>
    </w:p>
    <w:tbl>
      <w:tblPr>
        <w:tblW w:type="auto" w:w="0"/>
        <w:jc w:val="center"/>
        <w:tblLayout w:type="fixed"/>
        <w:tblLook w:firstColumn="1" w:firstRow="1" w:lastColumn="0" w:lastRow="0" w:noHBand="0" w:noVBand="1" w:val="04A0"/>
      </w:tblPr>
      <w:tblGrid>
        <w:gridCol w:w="9360"/>
      </w:tblGrid>
      <w:tr>
        <w:tc>
          <w:tcPr>
            <w:tcW w:type="dxa" w:w="8640"/>
            <w:shd w:val="clear" w:color="auto" w:fill="F2F4F7"/>
            <w:tcMar>
              <w:top w:w="140" w:type="dxa"/>
              <w:bottom w:w="140" w:type="dxa"/>
              <w:left w:w="200" w:type="dxa"/>
              <w:right w:w="140" w:type="dxa"/>
            </w:tcMar>
            <w:tcBorders>
              <w:left w:val="single" w:sz="24" w:space="0" w:color="0052CC"/>
              <w:top w:val="none"/>
              <w:bottom w:val="none"/>
              <w:right w:val="none"/>
            </w:tcBorders>
          </w:tcPr>
          <w:p>
            <w:pPr>
              <w:spacing w:before="0" w:after="80"/>
            </w:pPr>
            <w:r>
              <w:rPr>
                <w:rFonts w:ascii="Arial" w:hAnsi="Arial"/>
                <w:b/>
                <w:color w:val="0052CC"/>
                <w:sz w:val="22"/>
              </w:rPr>
              <w:t>Scalar Form</w:t>
              <w:br/>
            </w:r>
          </w:p>
          <w:p>
            <w:pPr>
              <w:spacing w:before="0" w:after="80"/>
            </w:pPr>
            <w:r>
              <w:rPr>
                <w:rFonts w:ascii="Arial" w:hAnsi="Arial"/>
                <w:i/>
                <w:color w:val="334155"/>
                <w:sz w:val="20"/>
              </w:rPr>
              <w:t>Y[i, k] = b[k] + Sum from j=0 to N_in-1 of ( X[i, j] * W[j, k] )</w:t>
            </w:r>
          </w:p>
        </w:tc>
      </w:tr>
    </w:tbl>
    <w:p>
      <w:pPr>
        <w:spacing w:after="120"/>
      </w:pPr>
      <w:r>
        <w:t>Because C++ utilizes Row-Major structural mapping for multi-dimensional allocations, contiguous blocks are calculated through explicit 1D memory array stride dimensions:</w:t>
      </w:r>
    </w:p>
    <w:p>
      <w:pPr>
        <w:pStyle w:val="ListBullet"/>
      </w:pPr>
      <w:r>
        <w:rPr>
          <w:b/>
        </w:rPr>
        <w:t>ind_out = i * n_out + k</w:t>
      </w:r>
      <w:r>
        <w:t xml:space="preserve"> maps directly to coordinates (i, k) inside the activation workspace matrix.</w:t>
      </w:r>
    </w:p>
    <w:p>
      <w:pPr>
        <w:pStyle w:val="ListBullet"/>
      </w:pPr>
      <w:r>
        <w:rPr>
          <w:b/>
        </w:rPr>
        <w:t>ind_inp = i * n_in + j</w:t>
      </w:r>
      <w:r>
        <w:t xml:space="preserve"> isolates coordinates (i, j) bounding the input sample layer space.</w:t>
      </w:r>
    </w:p>
    <w:p>
      <w:pPr>
        <w:pStyle w:val="ListBullet"/>
      </w:pPr>
      <w:r>
        <w:rPr>
          <w:b/>
        </w:rPr>
        <w:t>ind_weights = j * n_out + k</w:t>
      </w:r>
      <w:r>
        <w:t xml:space="preserve"> isolates coordinates (j, k) index-matching the weight coefficient.</w:t>
      </w:r>
    </w:p>
    <w:p>
      <w:pPr>
        <w:spacing w:after="240"/>
      </w:pPr>
      <w:r>
        <w:t>The innermost loop tracking iterator j sequentially sweeps across the columns of the input array and rows of the weight array, progressively accumulating product elements directly into the output storage array location seeded initially with the uniform bias value.</w:t>
      </w:r>
    </w:p>
    <w:p>
      <w:pPr>
        <w:pStyle w:val="Heading1"/>
        <w:spacing w:before="400" w:after="160"/>
      </w:pPr>
      <w:r>
        <w:rPr>
          <w:rFonts w:ascii="Arial" w:hAnsi="Arial"/>
          <w:b/>
          <w:color w:val="1E293B"/>
          <w:sz w:val="32"/>
        </w:rPr>
        <w:t>3. The Analytical Backward Pass (linear_backward_cpu)</w:t>
      </w:r>
    </w:p>
    <w:p>
      <w:pPr>
        <w:spacing w:after="120"/>
      </w:pPr>
      <w:r>
        <w:t>During deep backpropagation, the backprop subroutine receives an incoming error matrix reflecting partial derivatives with respect to layer activations (dL/dY, bounded by pointer *out). The system must compute partial derivatives with respect to inputs (dL/dX) to propagate errors down to prior layers.</w:t>
      </w:r>
    </w:p>
    <w:p>
      <w:pPr>
        <w:spacing w:after="160"/>
      </w:pPr>
      <w:r>
        <w:t>By invoking the multivariate chain rule across the network computational graph, the contribution of an isolated input element X[i, j] to total network loss is accumulated across all output paths that input element influenced:</w:t>
      </w:r>
    </w:p>
    <w:tbl>
      <w:tblPr>
        <w:tblW w:type="auto" w:w="0"/>
        <w:jc w:val="center"/>
        <w:tblLayout w:type="fixed"/>
        <w:tblLook w:firstColumn="1" w:firstRow="1" w:lastColumn="0" w:lastRow="0" w:noHBand="0" w:noVBand="1" w:val="04A0"/>
      </w:tblPr>
      <w:tblGrid>
        <w:gridCol w:w="9360"/>
      </w:tblGrid>
      <w:tr>
        <w:tc>
          <w:tcPr>
            <w:tcW w:type="dxa" w:w="8640"/>
            <w:shd w:val="clear" w:color="auto" w:fill="F2F4F7"/>
            <w:tcMar>
              <w:top w:w="140" w:type="dxa"/>
              <w:bottom w:w="140" w:type="dxa"/>
              <w:left w:w="200" w:type="dxa"/>
              <w:right w:w="140" w:type="dxa"/>
            </w:tcMar>
            <w:tcBorders>
              <w:left w:val="single" w:sz="24" w:space="0" w:color="0052CC"/>
              <w:top w:val="none"/>
              <w:bottom w:val="none"/>
              <w:right w:val="none"/>
            </w:tcBorders>
          </w:tcPr>
          <w:p>
            <w:pPr>
              <w:spacing w:before="0" w:after="80"/>
            </w:pPr>
            <w:r>
              <w:rPr>
                <w:rFonts w:ascii="Arial" w:hAnsi="Arial"/>
                <w:b/>
                <w:color w:val="0052CC"/>
                <w:sz w:val="22"/>
              </w:rPr>
              <w:t>Multivariate Chain Rule</w:t>
              <w:br/>
            </w:r>
          </w:p>
          <w:p>
            <w:pPr>
              <w:spacing w:before="0" w:after="80"/>
            </w:pPr>
            <w:r>
              <w:rPr>
                <w:rFonts w:ascii="Arial" w:hAnsi="Arial"/>
                <w:i/>
                <w:color w:val="334155"/>
                <w:sz w:val="20"/>
              </w:rPr>
              <w:t>dL / dX[i, j] = Sum from k=0 to N_out-1 of ( dL / dY[i, k] * dY[i, k] / dX[i, j] )</w:t>
            </w:r>
          </w:p>
        </w:tc>
      </w:tr>
    </w:tbl>
    <w:p>
      <w:pPr>
        <w:spacing w:after="160"/>
      </w:pPr>
      <w:r>
        <w:t>Differentiating our forward definition reveals that dY[i, k] / dX[i, j] evaluates directly to the weight coefficient scaling that connection, W[j, k]. Substituting this identity back yields the final analytical expression:</w:t>
      </w:r>
    </w:p>
    <w:tbl>
      <w:tblPr>
        <w:tblW w:type="auto" w:w="0"/>
        <w:jc w:val="center"/>
        <w:tblLayout w:type="fixed"/>
        <w:tblLook w:firstColumn="1" w:firstRow="1" w:lastColumn="0" w:lastRow="0" w:noHBand="0" w:noVBand="1" w:val="04A0"/>
      </w:tblPr>
      <w:tblGrid>
        <w:gridCol w:w="9360"/>
      </w:tblGrid>
      <w:tr>
        <w:tc>
          <w:tcPr>
            <w:tcW w:type="dxa" w:w="8640"/>
            <w:shd w:val="clear" w:color="auto" w:fill="F2F4F7"/>
            <w:tcMar>
              <w:top w:w="140" w:type="dxa"/>
              <w:bottom w:w="140" w:type="dxa"/>
              <w:left w:w="200" w:type="dxa"/>
              <w:right w:w="140" w:type="dxa"/>
            </w:tcMar>
            <w:tcBorders>
              <w:left w:val="single" w:sz="24" w:space="0" w:color="0052CC"/>
              <w:top w:val="none"/>
              <w:bottom w:val="none"/>
              <w:right w:val="none"/>
            </w:tcBorders>
          </w:tcPr>
          <w:p>
            <w:pPr>
              <w:spacing w:before="0" w:after="80"/>
            </w:pPr>
            <w:r>
              <w:rPr>
                <w:rFonts w:ascii="Arial" w:hAnsi="Arial"/>
                <w:b/>
                <w:color w:val="0052CC"/>
                <w:sz w:val="22"/>
              </w:rPr>
              <w:t>Input Gradient Formula</w:t>
              <w:br/>
            </w:r>
          </w:p>
          <w:p>
            <w:pPr>
              <w:spacing w:before="0" w:after="80"/>
            </w:pPr>
            <w:r>
              <w:rPr>
                <w:rFonts w:ascii="Arial" w:hAnsi="Arial"/>
                <w:i/>
                <w:color w:val="334155"/>
                <w:sz w:val="20"/>
              </w:rPr>
              <w:t>dL / dX[i, j] = Sum from k=0 to N_out-1 of ( dL / dY[i, k] * W[j, k] )</w:t>
            </w:r>
          </w:p>
        </w:tc>
      </w:tr>
    </w:tbl>
    <w:p>
      <w:pPr>
        <w:spacing w:after="160"/>
      </w:pPr>
      <w:r>
        <w:t>Expressing this operation cleanly as an optimized holistic matrix operation reveals that the input gradient is the dot product of the incoming loss gradients and the transposed weight matrix space:</w:t>
      </w:r>
    </w:p>
    <w:tbl>
      <w:tblPr>
        <w:tblW w:type="auto" w:w="0"/>
        <w:jc w:val="center"/>
        <w:tblLayout w:type="fixed"/>
        <w:tblLook w:firstColumn="1" w:firstRow="1" w:lastColumn="0" w:lastRow="0" w:noHBand="0" w:noVBand="1" w:val="04A0"/>
      </w:tblPr>
      <w:tblGrid>
        <w:gridCol w:w="9360"/>
      </w:tblGrid>
      <w:tr>
        <w:tc>
          <w:tcPr>
            <w:tcW w:type="dxa" w:w="8640"/>
            <w:shd w:val="clear" w:color="auto" w:fill="F2F4F7"/>
            <w:tcMar>
              <w:top w:w="140" w:type="dxa"/>
              <w:bottom w:w="140" w:type="dxa"/>
              <w:left w:w="200" w:type="dxa"/>
              <w:right w:w="140" w:type="dxa"/>
            </w:tcMar>
            <w:tcBorders>
              <w:left w:val="single" w:sz="24" w:space="0" w:color="0052CC"/>
              <w:top w:val="none"/>
              <w:bottom w:val="none"/>
              <w:right w:val="none"/>
            </w:tcBorders>
          </w:tcPr>
          <w:p>
            <w:pPr>
              <w:spacing w:before="0" w:after="80"/>
            </w:pPr>
            <w:r>
              <w:rPr>
                <w:rFonts w:ascii="Arial" w:hAnsi="Arial"/>
                <w:b/>
                <w:color w:val="0052CC"/>
                <w:sz w:val="22"/>
              </w:rPr>
              <w:t>Matrix Form</w:t>
              <w:br/>
            </w:r>
          </w:p>
          <w:p>
            <w:pPr>
              <w:spacing w:before="0" w:after="80"/>
            </w:pPr>
            <w:r>
              <w:rPr>
                <w:rFonts w:ascii="Arial" w:hAnsi="Arial"/>
                <w:i/>
                <w:color w:val="334155"/>
                <w:sz w:val="20"/>
              </w:rPr>
              <w:t>dL / dX = ( dL / dY ) * W^T</w:t>
            </w:r>
          </w:p>
        </w:tc>
      </w:tr>
    </w:tbl>
    <w:p>
      <w:pPr>
        <w:spacing w:after="240"/>
      </w:pPr>
      <w:r>
        <w:t>Your C++ implementation maps to this exact identity via: 'inp[ind_inp] += weights[ind_weights] * out[ind_out]'. Because the parent class method 'Linear_CPU::backward()' flushes the input target array to absolute zero using 'init_zero' immediately before launching the loop architecture, the nested execution tracks and computes the complete accumulation flawlessly across all output channels.</w:t>
      </w:r>
    </w:p>
    <w:p>
      <w:pPr>
        <w:pStyle w:val="Heading1"/>
        <w:spacing w:before="400" w:after="160"/>
      </w:pPr>
      <w:r>
        <w:rPr>
          <w:rFonts w:ascii="Arial" w:hAnsi="Arial"/>
          <w:b/>
          <w:color w:val="1E293B"/>
          <w:sz w:val="32"/>
        </w:rPr>
        <w:t>4. Parameter Updates &amp; Gradient Descent (linear_update_cpu)</w:t>
      </w:r>
    </w:p>
    <w:p>
      <w:pPr>
        <w:spacing w:after="120"/>
      </w:pPr>
      <w:r>
        <w:t>To optimize the model, parameter gradients are isolated to modify internal variables via standard stochastic optimization loops scaled by a scalar learning rate factor, lr.</w:t>
      </w:r>
    </w:p>
    <w:p>
      <w:pPr>
        <w:spacing w:after="160"/>
      </w:pPr>
      <w:r>
        <w:t>First, for bias vector coordinates, the change vector accumulates loss variations across every single execution sample evaluated across the active training batch:</w:t>
      </w:r>
    </w:p>
    <w:tbl>
      <w:tblPr>
        <w:tblW w:type="auto" w:w="0"/>
        <w:jc w:val="center"/>
        <w:tblLayout w:type="fixed"/>
        <w:tblLook w:firstColumn="1" w:firstRow="1" w:lastColumn="0" w:lastRow="0" w:noHBand="0" w:noVBand="1" w:val="04A0"/>
      </w:tblPr>
      <w:tblGrid>
        <w:gridCol w:w="9360"/>
      </w:tblGrid>
      <w:tr>
        <w:tc>
          <w:tcPr>
            <w:tcW w:type="dxa" w:w="8640"/>
            <w:shd w:val="clear" w:color="auto" w:fill="F2F4F7"/>
            <w:tcMar>
              <w:top w:w="140" w:type="dxa"/>
              <w:bottom w:w="140" w:type="dxa"/>
              <w:left w:w="200" w:type="dxa"/>
              <w:right w:w="140" w:type="dxa"/>
            </w:tcMar>
            <w:tcBorders>
              <w:left w:val="single" w:sz="24" w:space="0" w:color="0052CC"/>
              <w:top w:val="none"/>
              <w:bottom w:val="none"/>
              <w:right w:val="none"/>
            </w:tcBorders>
          </w:tcPr>
          <w:p>
            <w:pPr>
              <w:spacing w:before="0" w:after="80"/>
            </w:pPr>
            <w:r>
              <w:rPr>
                <w:rFonts w:ascii="Arial" w:hAnsi="Arial"/>
                <w:b/>
                <w:color w:val="0052CC"/>
                <w:sz w:val="22"/>
              </w:rPr>
              <w:t>Bias Gradient Calculus</w:t>
              <w:br/>
            </w:r>
          </w:p>
          <w:p>
            <w:pPr>
              <w:spacing w:before="0" w:after="80"/>
            </w:pPr>
            <w:r>
              <w:rPr>
                <w:rFonts w:ascii="Arial" w:hAnsi="Arial"/>
                <w:i/>
                <w:color w:val="334155"/>
                <w:sz w:val="20"/>
              </w:rPr>
              <w:t>dL / db[k] = Sum from i=0 to B-1 of ( dL / dY[i, k] * dY[i, k] / db[k] ) = Sum from i=0 to B-1 of ( dL / dY[i, k] )</w:t>
            </w:r>
          </w:p>
        </w:tc>
      </w:tr>
    </w:tbl>
    <w:p>
      <w:pPr>
        <w:spacing w:after="160"/>
      </w:pPr>
      <w:r>
        <w:t>The code maps to this mathematical reduction by sequentially accumulating steps through: 'bias[k] -= lr * out[ind_out]'.</w:t>
      </w:r>
    </w:p>
    <w:p>
      <w:pPr>
        <w:spacing w:after="160"/>
      </w:pPr>
      <w:r>
        <w:t>Second, for tracking updates across the entire interconnected weight space, the partial derivative reflects the outer product of input features and output error signals across the entire batch axis:</w:t>
      </w:r>
    </w:p>
    <w:tbl>
      <w:tblPr>
        <w:tblW w:type="auto" w:w="0"/>
        <w:jc w:val="center"/>
        <w:tblLayout w:type="fixed"/>
        <w:tblLook w:firstColumn="1" w:firstRow="1" w:lastColumn="0" w:lastRow="0" w:noHBand="0" w:noVBand="1" w:val="04A0"/>
      </w:tblPr>
      <w:tblGrid>
        <w:gridCol w:w="9360"/>
      </w:tblGrid>
      <w:tr>
        <w:tc>
          <w:tcPr>
            <w:tcW w:type="dxa" w:w="8640"/>
            <w:shd w:val="clear" w:color="auto" w:fill="F2F4F7"/>
            <w:tcMar>
              <w:top w:w="140" w:type="dxa"/>
              <w:bottom w:w="140" w:type="dxa"/>
              <w:left w:w="200" w:type="dxa"/>
              <w:right w:w="140" w:type="dxa"/>
            </w:tcMar>
            <w:tcBorders>
              <w:left w:val="single" w:sz="24" w:space="0" w:color="0052CC"/>
              <w:top w:val="none"/>
              <w:bottom w:val="none"/>
              <w:right w:val="none"/>
            </w:tcBorders>
          </w:tcPr>
          <w:p>
            <w:pPr>
              <w:spacing w:before="0" w:after="80"/>
            </w:pPr>
            <w:r>
              <w:rPr>
                <w:rFonts w:ascii="Arial" w:hAnsi="Arial"/>
                <w:b/>
                <w:color w:val="0052CC"/>
                <w:sz w:val="22"/>
              </w:rPr>
              <w:t>Weight Gradient Calculus</w:t>
              <w:br/>
            </w:r>
          </w:p>
          <w:p>
            <w:pPr>
              <w:spacing w:before="0" w:after="80"/>
            </w:pPr>
            <w:r>
              <w:rPr>
                <w:rFonts w:ascii="Arial" w:hAnsi="Arial"/>
                <w:i/>
                <w:color w:val="334155"/>
                <w:sz w:val="20"/>
              </w:rPr>
              <w:t>dL / dW[j, k] = Sum from i=0 to B-1 of ( X[i, j] * dL / dY[i, k] )</w:t>
            </w:r>
          </w:p>
        </w:tc>
      </w:tr>
    </w:tbl>
    <w:tbl>
      <w:tblPr>
        <w:tblW w:type="auto" w:w="0"/>
        <w:jc w:val="center"/>
        <w:tblLayout w:type="fixed"/>
        <w:tblLook w:firstColumn="1" w:firstRow="1" w:lastColumn="0" w:lastRow="0" w:noHBand="0" w:noVBand="1" w:val="04A0"/>
      </w:tblPr>
      <w:tblGrid>
        <w:gridCol w:w="9360"/>
      </w:tblGrid>
      <w:tr>
        <w:tc>
          <w:tcPr>
            <w:tcW w:type="dxa" w:w="8640"/>
            <w:shd w:val="clear" w:color="auto" w:fill="F2F4F7"/>
            <w:tcMar>
              <w:top w:w="140" w:type="dxa"/>
              <w:bottom w:w="140" w:type="dxa"/>
              <w:left w:w="200" w:type="dxa"/>
              <w:right w:w="140" w:type="dxa"/>
            </w:tcMar>
            <w:tcBorders>
              <w:left w:val="single" w:sz="24" w:space="0" w:color="0052CC"/>
              <w:top w:val="none"/>
              <w:bottom w:val="none"/>
              <w:right w:val="none"/>
            </w:tcBorders>
          </w:tcPr>
          <w:p>
            <w:pPr>
              <w:spacing w:before="0" w:after="80"/>
            </w:pPr>
            <w:r>
              <w:rPr>
                <w:rFonts w:ascii="Arial" w:hAnsi="Arial"/>
                <w:b/>
                <w:color w:val="0052CC"/>
                <w:sz w:val="22"/>
              </w:rPr>
              <w:t>Weight Matrix Form</w:t>
              <w:br/>
            </w:r>
          </w:p>
          <w:p>
            <w:pPr>
              <w:spacing w:before="0" w:after="80"/>
            </w:pPr>
            <w:r>
              <w:rPr>
                <w:rFonts w:ascii="Arial" w:hAnsi="Arial"/>
                <w:i/>
                <w:color w:val="334155"/>
                <w:sz w:val="20"/>
              </w:rPr>
              <w:t>dL / dW = X^T * ( dL / dY )</w:t>
            </w:r>
          </w:p>
        </w:tc>
      </w:tr>
    </w:tbl>
    <w:p>
      <w:pPr>
        <w:spacing w:after="240"/>
      </w:pPr>
      <w:r>
        <w:t>Your core implementation executes this calculus step by step inside the nested loop arrays via: 'weights[ind_weights] -= lr * inp[ind_inp] * out[ind_out]'. This operation fuses the total sum contraction across sample iterations seamlessly into individual in-place memory modifications.</w:t>
      </w:r>
    </w:p>
    <w:p>
      <w:pPr>
        <w:pStyle w:val="Heading1"/>
        <w:spacing w:before="400" w:after="160"/>
      </w:pPr>
      <w:r>
        <w:rPr>
          <w:rFonts w:ascii="Arial" w:hAnsi="Arial"/>
          <w:b/>
          <w:color w:val="1E293B"/>
          <w:sz w:val="32"/>
        </w:rPr>
        <w:t>5. Critical Optimization Dependency: Why cp_weights is Mandatory</w:t>
      </w:r>
    </w:p>
    <w:p>
      <w:pPr>
        <w:spacing w:after="120"/>
      </w:pPr>
      <w:r>
        <w:t>A vital execution dependency exists inside your class architecture within the sequential ordering of your training steps. Inside 'Linear_CPU::update()', you allocate a temporary matrix copy designated as 'cp_weights' to snapshot weight values prior to running parameter updates.</w:t>
      </w:r>
    </w:p>
    <w:p>
      <w:pPr>
        <w:spacing w:after="120"/>
      </w:pPr>
      <w:r>
        <w:t>This copy operation is mathematically mandatory because the 'linear_update_cpu' function mutates the active layer parameter weights directly in memory. If you did not explicitly isolate the un-updated weight matrix inside 'cp_weights', your subsequent execution pass inside 'Linear_CPU::backward()' would parse the newly modified weight values.</w:t>
      </w:r>
    </w:p>
    <w:p>
      <w:pPr>
        <w:spacing w:after="480"/>
      </w:pPr>
      <w:r>
        <w:t>Using modified weights to compute prior layer input gradients mathematically invalidates the chain rule, resulting in corrupted feedback loops that destroy training convergence. Preserving this boundary guarantees that error propagation aligns perfectly with analytical gradients.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