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ARGUS Developer Brief — HMS Backtest Review</w:t>
      </w:r>
    </w:p>
    <w:p>
      <w:p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Date: March 11, 2026  |  Re: HMS backtest CSV delivered this morning</w:t>
      </w:r>
    </w:p>
    <w:p>
      <w:p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Status: Four issues identified. One critical. Three actionable. See required changes below.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Summary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 ran the backtest CSV through our analysis pipeline. The build is structurally correct — all required columns present, date range 2019–2026, all 51 tickers delivered. However, one critical normalization bug is invalidating the composite score for the entire universe, and Component 4 is confirmed zero throughout. Four findings below, each with a specific required action.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Finding 1 — CRITICAL: NVDA Dominates C1 Normalization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Impact: The HMS_Score is unreliable for all tickers until this is fixed.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Component 1 (price compression) is normalized min-max across the universe daily. NVDA's trading volume is so large relative to the other 51 tickers that it permanently occupies the top of the C1 scale — C1 = 1.0 on 97.8% of all NVDA trading days (1,663 of 1,701). Every other ticker is compressed into the 0.00-0.10 range. As a result, NVDA receives HMS_ALERT on 60.2% of all days (1,024 of 1,701). The next highest is PLTR at 1.4%. This is a normalization artifact, not a real signal.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Evidence from backtest CSV: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HMS Alerts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NVDA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0.994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1,024 (60.2%)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Dominates normalization — artifact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PLTR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0.245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 (1.4%)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Second highest — large volume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SMCI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0.141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(0.1%)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Elevated volume periods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GOOGL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0.062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(&lt;0.1%)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Compressed to near-zero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Compressed to near-zero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Compressed to near-zero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Required Fix: Switch C1 normalization from min-max to cross-sectional percentile rank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Replace: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compression_score_normalized = (score - min) / (max - min)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With: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7C3E"/>
          <w:sz w:val="18"/>
          <w:szCs w:val="18"/>
        </w:rPr>
        <w:t xml:space="preserve">compression_score_normalized = percentile_rank(score) / 100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Percentile rank assigns each ticker its rank position (0-1) within the daily cross-section. A single outlier cannot dominate. Apply the same fix to C2 as a precaution — check whether NVDA or TSLA similarly dominate C2 volume absorption.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B7770D"/>
          <w:sz w:val="26"/>
          <w:szCs w:val="26"/>
        </w:rPr>
        <w:t xml:space="preserve">Finding 2 — Component 4 is Zero Throughout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HMS_Component4 = 0.0 for all 81,623 rows. This confirms trade count data is unavailable on the current Polygon subscription tier, as anticipated in the brief.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Required Action: Rebalance weights to 3-component formula and label output HMS_v1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80"/>
        <w:gridCol w:w="168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Brief Weight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 Weight (3-comp)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C1 Price Compression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0.2353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0.20 / 0.85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C2 Volume Absorption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0.2941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0.25 / 0.85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C3 Persistent Order Flow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0.3529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0.30 / 0.85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C4 Trade Fragmentation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0.0000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Unavailable — set to 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0.8824 → renorm to 1.00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HMS_Version column to output with value 'v1' until C4 becomes available. This allows us to track which records used the 3-component vs 4-component formula when C4 is eventually added.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B7770D"/>
          <w:sz w:val="26"/>
          <w:szCs w:val="26"/>
        </w:rPr>
        <w:t xml:space="preserve">Finding 3 — Low HMS-to-DM Lead Rate (3.1%)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Of 1,812 DM crossings above 60 in the dataset, only 57 (3.1%) had an HMS_Alert (score &gt;= 0.75) in the prior 30 days. The brief specified a 2-4 week lead time. This is likely a downstream consequence of Finding 1 — the C1 normalization bug suppresses HMS scores for non-NVDA tickers, preventing alerts from firing.</w:t>
      </w:r>
    </w:p>
    <w:p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Additionally, 42 of the 57 confirmed leads (74%) clustered in the 26-30 day lookback window — the edge of the detection range. This distribution is suspicious and suggests the signal may be lagging rather than leading in most detected cases.</w:t>
      </w:r>
    </w:p>
    <w:p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action required on this finding until Finding 1 is fixed. Re-run the lead time analysis after the percentile rank fix is applied and share the updated distribution.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555555"/>
          <w:sz w:val="26"/>
          <w:szCs w:val="26"/>
        </w:rPr>
        <w:t xml:space="preserve">Finding 4 — Early Data Has Flat Scores (June 2019)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first several rows of the CSV show HMS_Score = 0.5 and all components = 0.5 uniformly across all tickers. This appears to be a warm-up period artifact — the 10-day rolling windows have insufficient history at the start of the dataset.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Required Action: Add a burn-in flag or trim the output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Either: (a) add a column HMS_Valid = FALSE for the first 10 trading days per ticker where rolling windows are incomplete, or (b) trim the output to start after the warm-up period is complete. We will exclude HMS_Valid = FALSE rows from all backtest analysis.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Validation Request Before Full Rebuild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Before re-delivering the full 81K row backtest, please run the corrected formula on three tickers for the 60 days before each had a confirmed DM breakout above 70: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400"/>
        <w:gridCol w:w="26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Breakout Window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 Reference Event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Confirm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NVDA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60d before Jan 2023 DM &gt;70 crossing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AI infrastructure attractor formation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C1 no longer pegged at 1.0. Score shows variation.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CEG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60d before nuclear DM BUILD formation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Nuclear power infrastructure build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HMS rising 2-4 weeks before DM crosses 70.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60d before 2024 energy DM breakout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Energy AI infrastructure formation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18"/>
                <w:szCs w:val="18"/>
              </w:rPr>
              <w:t xml:space="preserve">Lead time visible in C3 persistent order flow.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Share just those three tickers as a CSV or directly in the sheet. We will confirm whether the corrected signal shows the right behavior before you invest time rebuilding the full dataset.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Required Actions —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7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Switch C1 (and verify C2) normalization from min-max to cross-sectional percentile rank. Re-run full backtest after fix.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REQUIRED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Rebalance weights to 3-component formula (C1: 0.2353, C2: 0.2941, C3: 0.3529). Add HMS_Version = 'v1' column.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REQUIRED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HMS_Valid flag or trim first 10 days per ticker to exclude warm-up period from backtest.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REQUESTED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Before full rebuild: deliver corrected 3-ticker validation CSV for NVDA, CEG, VST covering 60d pre-breakout windows.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No urgency — quality over speed as per the original brief. Once the validation CSV looks right on NVDA/CEG/VST, proceed with the full rebuild. Let us know on Component 4 status if the Polygon subscription changes.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/>
        <w:bCs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2026-03-11T18:05:14.137Z</dcterms:created>
  <dcterms:modified xsi:type="dcterms:W3CDTF">2026-03-11T18:05:14.139Z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