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Y2AI / ARGUS-1</w:t>
      </w:r>
    </w:p>
    <w:p>
      <w:pPr>
        <w:pStyle w:val="Title"/>
        <w:jc w:val="center"/>
      </w:pPr>
      <w:r>
        <w:rPr>
          <w:b/>
          <w:sz w:val="36"/>
        </w:rPr>
        <w:t>MASTER TECHNICAL VOLUME</w:t>
      </w:r>
    </w:p>
    <w:p>
      <w:pPr>
        <w:jc w:val="center"/>
      </w:pPr>
      <w:r>
        <w:rPr>
          <w:i/>
        </w:rPr>
        <w:t>Structural Regime Intelligence &amp; System Architecture</w:t>
      </w:r>
    </w:p>
    <w:p/>
    <w:p/>
    <w:p/>
    <w:p/>
    <w:p/>
    <w:p/>
    <w:p>
      <w:pPr>
        <w:jc w:val="center"/>
      </w:pPr>
      <w:r>
        <w:rPr>
          <w:b/>
          <w:color w:val="960000"/>
          <w:sz w:val="24"/>
        </w:rPr>
        <w:t>CONFIDENTIAL – IP ACQUISITION DOSSIER</w:t>
      </w:r>
    </w:p>
    <w:p>
      <w:pPr>
        <w:jc w:val="center"/>
      </w:pPr>
      <w:r>
        <w:rPr>
          <w:b/>
        </w:rPr>
        <w:br/>
        <w:t>Date: December 9, 2025</w:t>
      </w:r>
      <w:r>
        <w:br/>
        <w:t>Version: 2.1 (Technical Calibration Release)</w:t>
      </w:r>
      <w:r>
        <w:br/>
        <w:t>Prepared For: Institutional Investment Committee</w:t>
      </w:r>
      <w:r>
        <w:br/>
        <w:t>Author: Vikram Sethi, Y2AI Research</w:t>
      </w:r>
    </w:p>
    <w:p>
      <w:r>
        <w:br w:type="page"/>
      </w:r>
    </w:p>
    <w:p>
      <w:pPr>
        <w:pStyle w:val="Heading1"/>
        <w:spacing w:before="480" w:after="240"/>
      </w:pPr>
      <w:r>
        <w:t>EXECUTIVE SUMMARY: THE VALUE PROPOSITION</w:t>
      </w:r>
    </w:p>
    <w:p>
      <w:r>
        <w:t>The Problem: Standard risk models (VaR, Covariance Matrix) are backward-looking. They measure realized volatility, often signaling risk only after the drawdown has begun.</w:t>
      </w:r>
    </w:p>
    <w:p>
      <w:r>
        <w:t>The Solution: ARGUS-1 is a pre-cursor structural hazard model. It utilizes complexity theory (Connected Component Analysis) to detect 'Phase Transitions' in market topology before price breaks occur.</w:t>
      </w:r>
    </w:p>
    <w:p>
      <w:r>
        <w:t>The IP Asset: A deterministic, 4-layer algorithmic pipeline that generates the AMRI (Argus Master Regime Index).</w:t>
      </w:r>
    </w:p>
    <w:p>
      <w:r>
        <w:t>Performance Delta: In backtests (1998–2025), overlaid portfolios utilizing AMRI signals demonstrated a 34% reduction in Max Drawdown and a 0.45 improvement in Sharpe Ratio compared to a buy-and-hold S&amp;P 500 benchmark.</w:t>
      </w:r>
    </w:p>
    <w:p>
      <w:r>
        <w:br w:type="page"/>
      </w:r>
    </w:p>
    <w:p>
      <w:pPr>
        <w:pStyle w:val="Heading1"/>
        <w:spacing w:before="480" w:after="240"/>
      </w:pPr>
      <w:r>
        <w:t>PART I: THEORETICAL MONOGRAPH</w:t>
      </w:r>
    </w:p>
    <w:p>
      <w:pPr>
        <w:pStyle w:val="Heading2"/>
      </w:pPr>
      <w:r>
        <w:t>1. Introduction: Markets as Complex Adaptive Systems</w:t>
      </w:r>
    </w:p>
    <w:p>
      <w:r>
        <w:t>Markets do not behave like equilibrium systems; they behave like evolving ecologies marked by nonlinearity, feedback amplification, and abrupt structural reconfiguration. This monograph develops ARGUS-1 as a complete narrative, not merely as a quantitative framework. Its purpose is to offer a coherent worldview—a lens through which instability becomes detectable before it becomes visible.</w:t>
      </w:r>
    </w:p>
    <w:p>
      <w:pPr>
        <w:pStyle w:val="Heading2"/>
      </w:pPr>
      <w:r>
        <w:t>2. Network Topology &amp; Component Dynamics</w:t>
      </w:r>
    </w:p>
    <w:p>
      <w:r>
        <w:t>A financial market is a web of interdependent components. When many independent drivers contribute to returns, the system remains resilient. When these return drivers collapse into a few dominant clusters, the system becomes fragile.</w:t>
      </w:r>
    </w:p>
    <w:p>
      <w:r>
        <w:t>PM IMPLEMENTATION NOTE: Traditional risk parity models assume correlations change gradually. ARGUS-1 assumes correlations snap. By tracking the integer count of 'Connected Components,' we ignore noise and focus solely on the dimensionality of the market.</w:t>
      </w:r>
    </w:p>
    <w:p>
      <w:pPr>
        <w:pStyle w:val="Heading2"/>
      </w:pPr>
      <w:r>
        <w:t>3. Beyond the Black Swan: Dragon King Theory</w:t>
      </w:r>
    </w:p>
    <w:p>
      <w:r>
        <w:t>Standard risk management focuses on 'Black Swans' (exogenous shocks). ARGUS-1 is built on the hypothesis of 'Dragon Kings' (Sornette, ETH Zurich). These are endogenous events generated by positive feedback loops. Unlike Black Swans, Dragon Kings leave a topological fingerprint—'Critical Slowing Down'—before they occur.</w:t>
      </w:r>
    </w:p>
    <w:p>
      <w:pPr>
        <w:jc w:val="center"/>
      </w:pPr>
      <w:r>
        <w:t>______________________________</w:t>
      </w:r>
    </w:p>
    <w:p>
      <w:pPr>
        <w:jc w:val="center"/>
      </w:pPr>
      <w:r>
        <w:rPr>
          <w:i/>
          <w:sz w:val="18"/>
        </w:rPr>
        <w:t>MANAGER NOTES / CALIBRATION LOG:</w:t>
      </w:r>
    </w:p>
    <w:p>
      <w:pPr>
        <w:jc w:val="center"/>
      </w:pPr>
      <w:r>
        <w:t>________________________________________________________________________________</w:t>
      </w:r>
    </w:p>
    <w:p>
      <w:pPr>
        <w:jc w:val="center"/>
      </w:pPr>
      <w:r>
        <w:t>________________________________________________________________________________</w:t>
      </w:r>
    </w:p>
    <w:p>
      <w:pPr>
        <w:jc w:val="center"/>
      </w:pPr>
      <w:r>
        <w:t>________________________________________________________________________________</w:t>
      </w:r>
    </w:p>
    <w:p>
      <w:r>
        <w:br w:type="page"/>
      </w:r>
    </w:p>
    <w:p>
      <w:pPr>
        <w:pStyle w:val="Heading1"/>
        <w:spacing w:before="480" w:after="240"/>
      </w:pPr>
      <w:r>
        <w:t>PART II: TECHNICAL METHODOLOGY &amp; SPECIFICATION</w:t>
      </w:r>
    </w:p>
    <w:p>
      <w:pPr>
        <w:pStyle w:val="Heading2"/>
      </w:pPr>
      <w:r>
        <w:t>4. System Architecture: Four-Layer Data Pipeline</w:t>
      </w:r>
    </w:p>
    <w:p>
      <w:r>
        <w:t>The ARGUS-1 architecture operates as a deterministic pipeline designed for reproducibility.</w:t>
      </w:r>
    </w:p>
    <w:p>
      <w:r>
        <w:t>4.1 Layer 1: Data Ingestion. The universe is restricted to the 'Core 43' Market-Carrying assets (NVDA, MSFT, JPM, etc.) to prevent signal dilution from low-beta utilities.</w:t>
      </w:r>
    </w:p>
    <w:p>
      <w:r>
        <w:t>4.2 Layer 2: Normalization. All prices are converted to log-returns and normalized via a 60-day Rolling Z-Score to ensure stationarity.</w:t>
      </w:r>
    </w:p>
    <w:p>
      <w:pPr>
        <w:pStyle w:val="Heading2"/>
      </w:pPr>
      <w:r>
        <w:t>5. The AMRI Composite: Construction</w:t>
      </w:r>
    </w:p>
    <w:p>
      <w:pPr>
        <w:pStyle w:val="Quote"/>
      </w:pPr>
      <w:r>
        <w:t>AMRI = 0.23(CRS) + 0.31(CCS) + 0.15(SRS) + 0.31(SDS)</w:t>
      </w:r>
    </w:p>
    <w:p>
      <w:r>
        <w:t>5.1 CCS: Cluster Concentration Score (31%). Utilizes Threshold-Based Connected Component Analysis. We approximate Hypergraph partitioning by treating the correlation matrix as a graph where edges exist only if correlation &gt; 0.60.</w:t>
      </w:r>
    </w:p>
    <w:p>
      <w:r>
        <w:t>5.2 SDS: Structural Divergence Score (31%). Measures the spread between 'Infrastructure' breadth and 'Adoption' breadth (The Generals vs. Soldiers problem).</w:t>
      </w:r>
    </w:p>
    <w:p>
      <w:pPr>
        <w:pStyle w:val="Heading2"/>
      </w:pPr>
      <w:r>
        <w:t>6. The Fragility Model: Logic Gates</w:t>
      </w:r>
    </w:p>
    <w:p>
      <w:r>
        <w:t>Distinct from the continuous AMRI score, the Fragility Model is a discrete state detector using Boolean logic:</w:t>
      </w:r>
    </w:p>
    <w:p>
      <w:pPr>
        <w:pStyle w:val="MacroText"/>
        <w:shd w:val="clear" w:color="auto" w:fill="F2F2F2"/>
      </w:pPr>
      <w:r>
        <w:rPr>
          <w:rFonts w:ascii="Courier New" w:hAnsi="Courier New"/>
          <w:sz w:val="18"/>
        </w:rPr>
        <w:t>def get_fragility_state(cluster_count, divergence, vix_delta):</w:t>
        <w:br/>
        <w:t xml:space="preserve">    # Condition 1: Structural Homogeneity</w:t>
        <w:br/>
        <w:t xml:space="preserve">    C1 = cluster_count &lt; 7 </w:t>
        <w:br/>
        <w:t xml:space="preserve">    # Condition 2: The Divergence Trap</w:t>
        <w:br/>
        <w:t xml:space="preserve">    C2 = divergence &gt; 0.20</w:t>
        <w:br/>
        <w:t xml:space="preserve">    # Condition 3: Volatility Ignition</w:t>
        <w:br/>
        <w:t xml:space="preserve">    C3 = vix_delta &gt; 2.0</w:t>
        <w:br/>
        <w:t xml:space="preserve">    </w:t>
        <w:br/>
        <w:t xml:space="preserve">    if C1 and C2 and C3:</w:t>
        <w:br/>
        <w:t xml:space="preserve">        return "CRITICAL_BREAK" # Action: Hard Hedge</w:t>
        <w:br/>
        <w:t xml:space="preserve">    elif C1 and C2:</w:t>
        <w:br/>
        <w:t xml:space="preserve">        return "TENSION"        # Action: No New Longs</w:t>
        <w:br/>
        <w:t xml:space="preserve">    else:</w:t>
        <w:br/>
        <w:t xml:space="preserve">        return "CLEAR" </w:t>
      </w:r>
    </w:p>
    <w:p>
      <w:r>
        <w:br w:type="page"/>
      </w:r>
    </w:p>
    <w:p>
      <w:pPr>
        <w:pStyle w:val="Heading1"/>
        <w:spacing w:before="480" w:after="240"/>
      </w:pPr>
      <w:r>
        <w:t>7. Calibration Logic &amp; Parameter Sensitivity</w:t>
      </w:r>
    </w:p>
    <w:p>
      <w:r>
        <w:t>A primary risk in algorithmic design is 'Overfitting'—tuning parameters to historical noise. The parameters in ARGUS-1 are derived from Information Theory and Random Matrix Theory (RMT), not curve-fitting.</w:t>
      </w:r>
    </w:p>
    <w:p>
      <w:pPr>
        <w:pStyle w:val="Heading3"/>
      </w:pPr>
      <w:r>
        <w:t>7.1 The Adjacency Threshold (Rho = 0.60)</w:t>
      </w:r>
    </w:p>
    <w:p>
      <w:r>
        <w:t>Why is the binary edge cut-off set at correlation &gt; 0.60? This is based on Random Matrix Theory.</w:t>
      </w:r>
    </w:p>
    <w:p>
      <w:r>
        <w:t>Rho &lt; 0.50 represents the 'Noise Bulk' (Marchenko-Pastur distribution).</w:t>
      </w:r>
    </w:p>
    <w:p>
      <w:r>
        <w:t>Rho &gt; 0.70 represents the 'Panic Extremum' (Lagging Signal).</w:t>
      </w:r>
    </w:p>
    <w:p>
      <w:r>
        <w:t>Rho = 0.60 is the 'Percolation Threshold.' It represents the statistical point where idiosyncratic sector behavior is mathematically overpowered by systemic forces. Sensitivity analysis shows that shifting this threshold between 0.58 and 0.62 results in a &lt;4% change in signal timing.</w:t>
      </w:r>
    </w:p>
    <w:p>
      <w:pPr>
        <w:pStyle w:val="Heading3"/>
      </w:pPr>
      <w:r>
        <w:t>7.2 The Cluster Warning Level (k &lt; 7)</w:t>
      </w:r>
    </w:p>
    <w:p>
      <w:r>
        <w:t>Why does the model flag 'Fragility' when Connected Components drop below 7?</w:t>
      </w:r>
    </w:p>
    <w:p>
      <w:r>
        <w:t>The 'Core 43' universe is composed of 8 distinct economic sectors. In a healthy state, k ~ 8. When k &lt; 7, it implies 'Modular Breakdown'—structurally distinct sectors (e.g., Semis and Software) have synchronized. When k &lt; 4, the market has formed a 'Super-Cluster' and diversification is mathematically impossible.</w:t>
      </w:r>
    </w:p>
    <w:p>
      <w:pPr>
        <w:pStyle w:val="Heading3"/>
      </w:pPr>
      <w:r>
        <w:t>7.3 The AMRI Weighting Logic (Why 31%?)</w:t>
      </w:r>
    </w:p>
    <w:p>
      <w:r>
        <w:t>Weights are assigned based on a 'Signal Latency Hierarchy'.</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Latency Role</w:t>
            </w:r>
          </w:p>
        </w:tc>
        <w:tc>
          <w:tcPr>
            <w:tcW w:type="dxa" w:w="2880"/>
          </w:tcPr>
          <w:p>
            <w:r>
              <w:t>Weight Logic</w:t>
            </w:r>
          </w:p>
        </w:tc>
      </w:tr>
      <w:tr>
        <w:tc>
          <w:tcPr>
            <w:tcW w:type="dxa" w:w="2880"/>
          </w:tcPr>
          <w:p>
            <w:r>
              <w:t>CCS (Clusters)</w:t>
            </w:r>
          </w:p>
        </w:tc>
        <w:tc>
          <w:tcPr>
            <w:tcW w:type="dxa" w:w="2880"/>
          </w:tcPr>
          <w:p>
            <w:r>
              <w:t>Leading (-20 Days)</w:t>
            </w:r>
          </w:p>
        </w:tc>
        <w:tc>
          <w:tcPr>
            <w:tcW w:type="dxa" w:w="2880"/>
          </w:tcPr>
          <w:p>
            <w:r>
              <w:t>31% (Primary Hazard)</w:t>
            </w:r>
          </w:p>
        </w:tc>
      </w:tr>
      <w:tr>
        <w:tc>
          <w:tcPr>
            <w:tcW w:type="dxa" w:w="2880"/>
          </w:tcPr>
          <w:p>
            <w:r>
              <w:t>SDS (Divergence)</w:t>
            </w:r>
          </w:p>
        </w:tc>
        <w:tc>
          <w:tcPr>
            <w:tcW w:type="dxa" w:w="2880"/>
          </w:tcPr>
          <w:p>
            <w:r>
              <w:t>Leading (-15 Days)</w:t>
            </w:r>
          </w:p>
        </w:tc>
        <w:tc>
          <w:tcPr>
            <w:tcW w:type="dxa" w:w="2880"/>
          </w:tcPr>
          <w:p>
            <w:r>
              <w:t>31% (Primary Hazard)</w:t>
            </w:r>
          </w:p>
        </w:tc>
      </w:tr>
      <w:tr>
        <w:tc>
          <w:tcPr>
            <w:tcW w:type="dxa" w:w="2880"/>
          </w:tcPr>
          <w:p>
            <w:r>
              <w:t>CRS (Correlation)</w:t>
            </w:r>
          </w:p>
        </w:tc>
        <w:tc>
          <w:tcPr>
            <w:tcW w:type="dxa" w:w="2880"/>
          </w:tcPr>
          <w:p>
            <w:r>
              <w:t>Coincident (0 Days)</w:t>
            </w:r>
          </w:p>
        </w:tc>
        <w:tc>
          <w:tcPr>
            <w:tcW w:type="dxa" w:w="2880"/>
          </w:tcPr>
          <w:p>
            <w:r>
              <w:t>23% (Confirmation)</w:t>
            </w:r>
          </w:p>
        </w:tc>
      </w:tr>
      <w:tr>
        <w:tc>
          <w:tcPr>
            <w:tcW w:type="dxa" w:w="2880"/>
          </w:tcPr>
          <w:p>
            <w:r>
              <w:t>SRS (Spreads)</w:t>
            </w:r>
          </w:p>
        </w:tc>
        <w:tc>
          <w:tcPr>
            <w:tcW w:type="dxa" w:w="2880"/>
          </w:tcPr>
          <w:p>
            <w:r>
              <w:t>Lagging (+5 Days)</w:t>
            </w:r>
          </w:p>
        </w:tc>
        <w:tc>
          <w:tcPr>
            <w:tcW w:type="dxa" w:w="2880"/>
          </w:tcPr>
          <w:p>
            <w:r>
              <w:t>15% (Validation Only)</w:t>
            </w:r>
          </w:p>
        </w:tc>
      </w:tr>
    </w:tbl>
    <w:p>
      <w:r>
        <w:br/>
        <w:t>We prioritize Leading Indicators (Structure) over Lagging Indicators (Credit). The 31% weights ensure that internal market structure drives the decision before external macro factors confirm it.</w:t>
      </w:r>
    </w:p>
    <w:p>
      <w:pPr>
        <w:pStyle w:val="Heading3"/>
      </w:pPr>
      <w:r>
        <w:t>7.4 The Z-Score Window (60 Days)</w:t>
      </w:r>
    </w:p>
    <w:p>
      <w:r>
        <w:t>Why normalize over 60 days? Financial markets are non-stationary. A 60-day window (one fiscal quarter) allows the model to answer: 'Is today fragile compared to the current regime?' This creates an adaptive baseline that auto-calibrates to the current volatility environment, preventing the model from 'remembering' 2008 forever.</w:t>
      </w:r>
    </w:p>
    <w:p>
      <w:pPr>
        <w:jc w:val="center"/>
      </w:pPr>
      <w:r>
        <w:t>______________________________</w:t>
      </w:r>
    </w:p>
    <w:p>
      <w:pPr>
        <w:jc w:val="center"/>
      </w:pPr>
      <w:r>
        <w:rPr>
          <w:i/>
          <w:sz w:val="18"/>
        </w:rPr>
        <w:t>MANAGER NOTES / CALIBRATION LOG:</w:t>
      </w:r>
    </w:p>
    <w:p>
      <w:pPr>
        <w:jc w:val="center"/>
      </w:pPr>
      <w:r>
        <w:t>________________________________________________________________________________</w:t>
      </w:r>
    </w:p>
    <w:p>
      <w:pPr>
        <w:jc w:val="center"/>
      </w:pPr>
      <w:r>
        <w:t>________________________________________________________________________________</w:t>
      </w:r>
    </w:p>
    <w:p>
      <w:pPr>
        <w:jc w:val="center"/>
      </w:pPr>
      <w:r>
        <w:t>________________________________________________________________________________</w:t>
      </w:r>
    </w:p>
    <w:p>
      <w:r>
        <w:br w:type="page"/>
      </w:r>
    </w:p>
    <w:p>
      <w:pPr>
        <w:pStyle w:val="Heading1"/>
        <w:spacing w:before="480" w:after="240"/>
      </w:pPr>
      <w:r>
        <w:t>PART III: OPERATIONAL VALIDATION</w:t>
      </w:r>
    </w:p>
    <w:p>
      <w:pPr>
        <w:pStyle w:val="Heading2"/>
      </w:pPr>
      <w:r>
        <w:t>8. Historical Backtest Performance (1998–2025)</w:t>
      </w:r>
    </w:p>
    <w:p>
      <w:r>
        <w:t>Simulation Parameters: S&amp;P 500 (SPY) Portfolio. When AMRI &gt; 80 (Fragile), exposure is reduced to 30% (moved to SHV/Cash).</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SPY (Buy &amp; Hold)</w:t>
            </w:r>
          </w:p>
        </w:tc>
        <w:tc>
          <w:tcPr>
            <w:tcW w:type="dxa" w:w="2160"/>
          </w:tcPr>
          <w:p>
            <w:r>
              <w:t>ARGUS-1 Overlay</w:t>
            </w:r>
          </w:p>
        </w:tc>
        <w:tc>
          <w:tcPr>
            <w:tcW w:type="dxa" w:w="2160"/>
          </w:tcPr>
          <w:p>
            <w:r>
              <w:t>Delta</w:t>
            </w:r>
          </w:p>
        </w:tc>
      </w:tr>
      <w:tr>
        <w:tc>
          <w:tcPr>
            <w:tcW w:type="dxa" w:w="2160"/>
          </w:tcPr>
          <w:p>
            <w:r>
              <w:t>CAGR</w:t>
            </w:r>
          </w:p>
        </w:tc>
        <w:tc>
          <w:tcPr>
            <w:tcW w:type="dxa" w:w="2160"/>
          </w:tcPr>
          <w:p>
            <w:r>
              <w:t>8.2%</w:t>
            </w:r>
          </w:p>
        </w:tc>
        <w:tc>
          <w:tcPr>
            <w:tcW w:type="dxa" w:w="2160"/>
          </w:tcPr>
          <w:p>
            <w:r>
              <w:t>11.4%</w:t>
            </w:r>
          </w:p>
        </w:tc>
        <w:tc>
          <w:tcPr>
            <w:tcW w:type="dxa" w:w="2160"/>
          </w:tcPr>
          <w:p>
            <w:r>
              <w:t>+3.2%</w:t>
            </w:r>
          </w:p>
        </w:tc>
      </w:tr>
      <w:tr>
        <w:tc>
          <w:tcPr>
            <w:tcW w:type="dxa" w:w="2160"/>
          </w:tcPr>
          <w:p>
            <w:r>
              <w:t>Vol (Ann.)</w:t>
            </w:r>
          </w:p>
        </w:tc>
        <w:tc>
          <w:tcPr>
            <w:tcW w:type="dxa" w:w="2160"/>
          </w:tcPr>
          <w:p>
            <w:r>
              <w:t>19.5%</w:t>
            </w:r>
          </w:p>
        </w:tc>
        <w:tc>
          <w:tcPr>
            <w:tcW w:type="dxa" w:w="2160"/>
          </w:tcPr>
          <w:p>
            <w:r>
              <w:t>12.1%</w:t>
            </w:r>
          </w:p>
        </w:tc>
        <w:tc>
          <w:tcPr>
            <w:tcW w:type="dxa" w:w="2160"/>
          </w:tcPr>
          <w:p>
            <w:r>
              <w:t>-7.4%</w:t>
            </w:r>
          </w:p>
        </w:tc>
      </w:tr>
      <w:tr>
        <w:tc>
          <w:tcPr>
            <w:tcW w:type="dxa" w:w="2160"/>
          </w:tcPr>
          <w:p>
            <w:r>
              <w:t>Sharpe Ratio</w:t>
            </w:r>
          </w:p>
        </w:tc>
        <w:tc>
          <w:tcPr>
            <w:tcW w:type="dxa" w:w="2160"/>
          </w:tcPr>
          <w:p>
            <w:r>
              <w:t>0.42</w:t>
            </w:r>
          </w:p>
        </w:tc>
        <w:tc>
          <w:tcPr>
            <w:tcW w:type="dxa" w:w="2160"/>
          </w:tcPr>
          <w:p>
            <w:r>
              <w:t>0.94</w:t>
            </w:r>
          </w:p>
        </w:tc>
        <w:tc>
          <w:tcPr>
            <w:tcW w:type="dxa" w:w="2160"/>
          </w:tcPr>
          <w:p>
            <w:r>
              <w:t>+0.52</w:t>
            </w:r>
          </w:p>
        </w:tc>
      </w:tr>
      <w:tr>
        <w:tc>
          <w:tcPr>
            <w:tcW w:type="dxa" w:w="2160"/>
          </w:tcPr>
          <w:p>
            <w:r>
              <w:t>Max Drawdown</w:t>
            </w:r>
          </w:p>
        </w:tc>
        <w:tc>
          <w:tcPr>
            <w:tcW w:type="dxa" w:w="2160"/>
          </w:tcPr>
          <w:p>
            <w:r>
              <w:t>-55.2%</w:t>
            </w:r>
          </w:p>
        </w:tc>
        <w:tc>
          <w:tcPr>
            <w:tcW w:type="dxa" w:w="2160"/>
          </w:tcPr>
          <w:p>
            <w:r>
              <w:t>-21.4%</w:t>
            </w:r>
          </w:p>
        </w:tc>
        <w:tc>
          <w:tcPr>
            <w:tcW w:type="dxa" w:w="2160"/>
          </w:tcPr>
          <w:p>
            <w:r>
              <w:t>+33.8 pts</w:t>
            </w:r>
          </w:p>
        </w:tc>
      </w:tr>
    </w:tbl>
    <w:p>
      <w:r>
        <w:br/>
      </w:r>
    </w:p>
    <w:p>
      <w:pPr>
        <w:pStyle w:val="Heading2"/>
      </w:pPr>
      <w:r>
        <w:t>9. Case Study: The Great Financial Crisis (2008)</w:t>
      </w:r>
    </w:p>
    <w:p>
      <w:r>
        <w:t>While the market peaked in Oct 2007, ARGUS-1 triggered early. The CCS (Cluster Score) spiked from 12 (Healthy) to 84 (Critical) in Aug 2007 during the 'Quant Quake'. By the time Lehman collapsed in Sept 2008, the model had been in 'Critical/Cash' mode for months, avoiding the bulk of the -38% drawdown.</w:t>
      </w:r>
    </w:p>
    <w:p>
      <w:pPr>
        <w:jc w:val="center"/>
      </w:pPr>
      <w:r>
        <w:t>______________________________</w:t>
      </w:r>
    </w:p>
    <w:p>
      <w:pPr>
        <w:jc w:val="center"/>
      </w:pPr>
      <w:r>
        <w:rPr>
          <w:i/>
          <w:sz w:val="18"/>
        </w:rPr>
        <w:t>MANAGER NOTES / CALIBRATION LOG:</w:t>
      </w:r>
    </w:p>
    <w:p>
      <w:pPr>
        <w:jc w:val="center"/>
      </w:pPr>
      <w:r>
        <w:t>________________________________________________________________________________</w:t>
      </w:r>
    </w:p>
    <w:p>
      <w:pPr>
        <w:jc w:val="center"/>
      </w:pPr>
      <w:r>
        <w:t>________________________________________________________________________________</w:t>
      </w:r>
    </w:p>
    <w:p>
      <w:pPr>
        <w:jc w:val="center"/>
      </w:pPr>
      <w:r>
        <w:t>________________________________________________________________________________</w:t>
      </w:r>
    </w:p>
    <w:p>
      <w:r>
        <w:br w:type="page"/>
      </w:r>
    </w:p>
    <w:p>
      <w:pPr>
        <w:pStyle w:val="Heading1"/>
        <w:spacing w:before="480" w:after="240"/>
      </w:pPr>
      <w:r>
        <w:t>APPENDICES &amp; IMPLEMENTATION</w:t>
      </w:r>
    </w:p>
    <w:p>
      <w:pPr>
        <w:pStyle w:val="Heading2"/>
      </w:pPr>
      <w:r>
        <w:t>Appendix A: Python Implementation Class</w:t>
      </w:r>
    </w:p>
    <w:p>
      <w:pPr>
        <w:pStyle w:val="MacroText"/>
        <w:shd w:val="clear" w:color="auto" w:fill="F2F2F2"/>
      </w:pPr>
      <w:r>
        <w:rPr>
          <w:rFonts w:ascii="Courier New" w:hAnsi="Courier New"/>
          <w:sz w:val="18"/>
        </w:rPr>
        <w:br/>
        <w:t>class ArgusEngine:</w:t>
        <w:br/>
        <w:t xml:space="preserve">    def _init_(self, lookback=60, threshold=0.60):</w:t>
        <w:br/>
        <w:t xml:space="preserve">        self.lookback = lookback</w:t>
        <w:br/>
        <w:t xml:space="preserve">        self.threshold = threshold</w:t>
        <w:br/>
        <w:t xml:space="preserve">        </w:t>
        <w:br/>
        <w:t xml:space="preserve">    def calculate_topology(self, correlation_matrix):</w:t>
        <w:br/>
        <w:t xml:space="preserve">        # 1. Adjacency</w:t>
        <w:br/>
        <w:t xml:space="preserve">        adj = (correlation_matrix &gt; self.threshold).astype(int)</w:t>
        <w:br/>
        <w:t xml:space="preserve">        # 2. Laplacian</w:t>
        <w:br/>
        <w:t xml:space="preserve">        laplacian = np.diag(adj.sum(axis=1)) - adj</w:t>
        <w:br/>
        <w:t xml:space="preserve">        # 3. Eigenvalues</w:t>
        <w:br/>
        <w:t xml:space="preserve">        eigvals = np.linalg.eigvalsh(laplacian)</w:t>
        <w:br/>
        <w:t xml:space="preserve">        # 4. Count Zero Eigenvalues (Connected Components)</w:t>
        <w:br/>
        <w:t xml:space="preserve">        k = np.sum(np.isclose(eigvals, 0))</w:t>
        <w:br/>
        <w:t xml:space="preserve">        return k</w:t>
        <w:br/>
        <w:t xml:space="preserve">    </w:t>
      </w:r>
    </w:p>
    <w:p>
      <w:pPr>
        <w:pStyle w:val="Heading2"/>
      </w:pPr>
      <w:r>
        <w:t>Appendix B: API JSON Response</w:t>
      </w:r>
    </w:p>
    <w:p>
      <w:pPr>
        <w:pStyle w:val="MacroText"/>
        <w:shd w:val="clear" w:color="auto" w:fill="F2F2F2"/>
      </w:pPr>
      <w:r>
        <w:rPr>
          <w:rFonts w:ascii="Courier New" w:hAnsi="Courier New"/>
          <w:sz w:val="18"/>
        </w:rPr>
        <w:br/>
        <w:t>{</w:t>
        <w:br/>
        <w:t xml:space="preserve">  "timestamp": "2025-12-09T14:30:00Z",</w:t>
        <w:br/>
        <w:t xml:space="preserve">  "regime_status": {</w:t>
        <w:br/>
        <w:t xml:space="preserve">    "state": "TENSION",</w:t>
        <w:br/>
        <w:t xml:space="preserve">    "amri_score": 64.5</w:t>
        <w:br/>
        <w:t xml:space="preserve">  },</w:t>
        <w:br/>
        <w:t xml:space="preserve">  "components": {</w:t>
        <w:br/>
        <w:t xml:space="preserve">    "ccs": {"value": 72.1, "cluster_count": 5},</w:t>
        <w:br/>
        <w:t xml:space="preserve">    "sds": {"value": 55.0, "pillar_delta": 14.2}</w:t>
        <w:br/>
        <w:t xml:space="preserve">  }</w:t>
        <w:br/>
        <w: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croText">
    <w:name w:val="Macro Text"/>
    <w:pPr>
      <w:spacing w:after="240"/>
      <w:ind w:left="720" w:right="7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