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Y2AI / ARGUS-1</w:t>
      </w:r>
    </w:p>
    <w:p>
      <w:pPr>
        <w:pStyle w:val="Heading1"/>
        <w:jc w:val="center"/>
      </w:pPr>
      <w:r>
        <w:t>MASTER TECHNICAL VOLUME</w:t>
      </w:r>
    </w:p>
    <w:p>
      <w:pPr>
        <w:pStyle w:val="Subtitle"/>
        <w:jc w:val="center"/>
      </w:pPr>
      <w:r>
        <w:t>Structural Regime Intelligence &amp; System Architecture</w:t>
      </w:r>
    </w:p>
    <w:p/>
    <w:p/>
    <w:p/>
    <w:p/>
    <w:p/>
    <w:p>
      <w:pPr>
        <w:jc w:val="center"/>
      </w:pPr>
      <w:r>
        <w:rPr>
          <w:b/>
          <w:color w:val="B40000"/>
        </w:rPr>
        <w:t>CONFIDENTIAL – IP ACQUISITION DOSSIER</w:t>
      </w:r>
    </w:p>
    <w:p>
      <w:pPr>
        <w:jc w:val="center"/>
      </w:pPr>
      <w:r>
        <w:rPr>
          <w:b/>
        </w:rPr>
        <w:br/>
        <w:t>Date: December 2025</w:t>
      </w:r>
      <w:r>
        <w:br/>
        <w:t>Version: 2.1 (Due Diligence Release)</w:t>
      </w:r>
      <w:r>
        <w:br/>
        <w:t>Author: Vikram Sethi, Y2AI Research</w:t>
      </w:r>
    </w:p>
    <w:p>
      <w:r>
        <w:br w:type="page"/>
      </w:r>
    </w:p>
    <w:p>
      <w:pPr>
        <w:pStyle w:val="Heading1"/>
      </w:pPr>
      <w:r>
        <w:t>EXECUTIVE SUMMARY: THE VALUE PROPOSITION</w:t>
      </w:r>
    </w:p>
    <w:p>
      <w:r>
        <w:rPr>
          <w:b/>
        </w:rPr>
        <w:t xml:space="preserve">The Problem: </w:t>
      </w:r>
      <w:r>
        <w:t>Standard risk models (VaR, Covariance Matrix) are backward-looking. They measure realized volatility, often signaling risk only after the drawdown has begun.</w:t>
      </w:r>
    </w:p>
    <w:p>
      <w:r>
        <w:rPr>
          <w:b/>
        </w:rPr>
        <w:t xml:space="preserve">The Solution: </w:t>
      </w:r>
      <w:r>
        <w:t>ARGUS-1 is a pre-cursor structural hazard model. It utilizes complexity theory (Connected Component Analysis) to detect "Phase Transitions" in market topology before price breaks occur.</w:t>
      </w:r>
    </w:p>
    <w:p>
      <w:r>
        <w:rPr>
          <w:b/>
        </w:rPr>
        <w:t xml:space="preserve">Performance Delta: </w:t>
      </w:r>
      <w:r>
        <w:t>In backtests (1998–2025), overlaid portfolios utilizing AMRI signals demonstrated a 34% reduction in Max Drawdown and a 0.45 improvement in Sharpe Ratio compared to a buy-and-hold S&amp;P 500 benchmark.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t>PART I: THE THEORETICAL MONOGRAPH</w:t>
      </w:r>
    </w:p>
    <w:p>
      <w:pPr>
        <w:pStyle w:val="Heading2"/>
      </w:pPr>
      <w:r>
        <w:t>1. Introduction: Markets as Complex Adaptive Systems</w:t>
      </w:r>
    </w:p>
    <w:p>
      <w:r>
        <w:t>Markets do not behave like equilibrium systems; they behave like evolving ecologies marked by nonlinearity, feedback amplification, and abrupt structural reconfiguration. This monograph develops ARGUS-1 as a complete narrative, not merely as a quantitative framework. Its purpose is to offer a coherent worldview—a lens through which instability becomes detectable before it becomes visible.</w:t>
      </w:r>
    </w:p>
    <w:p>
      <w:pPr>
        <w:pStyle w:val="Heading2"/>
      </w:pPr>
      <w:r>
        <w:t>2. Network Topology and Connected Component Dynamics</w:t>
      </w:r>
    </w:p>
    <w:p>
      <w:r>
        <w:t>When many independent drivers contribute to returns, the system remains resilient: shocks disperse rather than propagate. When these return drivers collapse into a few dominant clusters, the system becomes fragile.</w:t>
      </w:r>
    </w:p>
    <w:p>
      <w:pPr>
        <w:ind w:left="720"/>
      </w:pPr>
      <w:r>
        <w:rPr>
          <w:b/>
          <w:i/>
          <w:color w:val="003296"/>
        </w:rPr>
        <w:t>PM IMPLEMENTATION NOTE:</w:t>
        <w:br/>
        <w:t>Traditional risk parity models assume correlations change gradually. ARGUS-1 assumes correlations snap. By tracking the integer count of "Connected Components," we ignore noise and focus solely on the dimensionality of the market. ARGUS-1 flags the exact moment of diversification failure.</w:t>
      </w:r>
    </w:p>
    <w:p>
      <w:pPr>
        <w:pStyle w:val="Heading2"/>
      </w:pPr>
      <w:r>
        <w:t>3. Bifurcation Theory &amp; Nonlinear Shifts</w:t>
      </w:r>
    </w:p>
    <w:p>
      <w:r>
        <w:t>One of the earliest signs of a system approaching bifurcation is known as critical slowing down. In this state, shocks take longer to dissipate, recovery becomes uneven, and autocorrelation rises.</w:t>
      </w:r>
    </w:p>
    <w:p>
      <w:pPr>
        <w:pStyle w:val="Heading1"/>
      </w:pPr>
      <w:r>
        <w:t>PART II: TECHNICAL METHODOLOGY</w:t>
      </w:r>
    </w:p>
    <w:p>
      <w:pPr>
        <w:pStyle w:val="Heading2"/>
      </w:pPr>
      <w:r>
        <w:t>9. System Architecture: Four-Layer Data Pipeline</w:t>
      </w:r>
    </w:p>
    <w:p>
      <w:r>
        <w:t>9.1 Layer 1: Data Ingestion &amp; Universe Definition</w:t>
      </w:r>
    </w:p>
    <w:p>
      <w:r>
        <w:t>To ensure the signal is not diluted by low-beta noise, the universe is restricted to the "Market-Carrying Core" (The Core 43): Mega-Cap Tech, Semiconductor Sensitivity, Software/Cloud, and Macro-Proxies.</w:t>
      </w:r>
    </w:p>
    <w:p>
      <w:pPr>
        <w:pStyle w:val="Heading2"/>
      </w:pPr>
      <w:r>
        <w:t>10. The AMRI Composite: Detailed Construction</w:t>
      </w:r>
    </w:p>
    <w:p>
      <w:r>
        <w:t>The AMRI is a linear combination of four non-collinear sub-models:</w:t>
      </w:r>
    </w:p>
    <w:p>
      <w:pPr>
        <w:pStyle w:val="Quote"/>
        <w:jc w:val="center"/>
      </w:pPr>
      <w:r>
        <w:rPr>
          <w:i/>
        </w:rPr>
        <w:t>AMRI = 0.23(CRS) + 0.31(CCS) + 0.15(SRS) + 0.31(SDS)</w:t>
      </w:r>
    </w:p>
    <w:p>
      <w:pPr>
        <w:pStyle w:val="Heading3"/>
      </w:pPr>
      <w:r>
        <w:t>10.1 CCS: Cluster Concentration Score (Weight: 31%)</w:t>
      </w:r>
    </w:p>
    <w:p>
      <w:r>
        <w:t>The Core IP Asset. We utilize Threshold-Based Connected Component Analysis (CCA).</w:t>
      </w:r>
    </w:p>
    <w:p>
      <w:r>
        <w:t>Step 1: Calculate 20-day Pearson correlation on the Core 43 universe.</w:t>
      </w:r>
    </w:p>
    <w:p>
      <w:r>
        <w:t>Step 2: Apply binary threshold filter (Edges exist if Corr &gt; 0.60).</w:t>
      </w:r>
    </w:p>
    <w:p>
      <w:r>
        <w:t>Step 3: Extract Connected Components (k) using the Laplacian Matrix.</w:t>
      </w:r>
    </w:p>
    <w:p>
      <w:pPr>
        <w:pStyle w:val="Quote"/>
        <w:jc w:val="center"/>
      </w:pPr>
      <w:r>
        <w:rPr>
          <w:i/>
        </w:rPr>
        <w:t>CCS = MAX(0, MIN(100, ((20 - k) / 17) * 100))</w:t>
      </w:r>
    </w:p>
    <w:p>
      <w:pPr>
        <w:pStyle w:val="Heading3"/>
      </w:pPr>
      <w:r>
        <w:t>10.2 SDS: Structural Divergence Score (Weight: 31%)</w:t>
      </w:r>
    </w:p>
    <w:p>
      <w:r>
        <w:t>Detects the "Generals vs. Soldiers" problem. Measures the spread between the breadth of Pillar A (Infrastructure) and Pillar B (Enterprise Adoption).</w:t>
      </w:r>
    </w:p>
    <w:p>
      <w:pPr>
        <w:pStyle w:val="Heading3"/>
      </w:pPr>
      <w:r>
        <w:t>10.3 CRS: Correlation Regime Score (Weight: 23%)</w:t>
      </w:r>
    </w:p>
    <w:p>
      <w:r>
        <w:t>Utilizes a Fractal Weighting scheme to capture multi-timeframe panic.</w:t>
      </w:r>
    </w:p>
    <w:p>
      <w:pPr>
        <w:pStyle w:val="Quote"/>
        <w:jc w:val="center"/>
      </w:pPr>
      <w:r>
        <w:rPr>
          <w:i/>
        </w:rPr>
        <w:t>CRS = 0.6 * (20d Corr) + 0.4 * (60d Corr)</w:t>
      </w:r>
    </w:p>
    <w:p>
      <w:pPr>
        <w:pStyle w:val="Heading2"/>
      </w:pPr>
      <w:r>
        <w:t>11. The Fragility Model: Logic Gates</w:t>
      </w:r>
    </w:p>
    <w:p>
      <w:r>
        <w:t>Boolean Logic for Algorithmic Execution:</w:t>
      </w:r>
    </w:p>
    <w:p>
      <w:pPr>
        <w:spacing w:after="160"/>
        <w:ind w:left="720"/>
      </w:pPr>
      <w:r>
        <w:rPr>
          <w:rFonts w:ascii="Courier New" w:hAnsi="Courier New"/>
          <w:sz w:val="18"/>
        </w:rPr>
        <w:t>def get_fragility_state(cluster_count, infra_breadth, ent_breadth, vix_delta):</w:t>
        <w:br/>
      </w:r>
      <w:r>
        <w:rPr>
          <w:rFonts w:ascii="Courier New" w:hAnsi="Courier New"/>
          <w:sz w:val="18"/>
        </w:rPr>
        <w:t xml:space="preserve">    # Condition 1: Structural Homogeneity</w:t>
        <w:br/>
      </w:r>
      <w:r>
        <w:rPr>
          <w:rFonts w:ascii="Courier New" w:hAnsi="Courier New"/>
          <w:sz w:val="18"/>
        </w:rPr>
        <w:t xml:space="preserve">    C1 = cluster_count &lt; 7 </w:t>
        <w:br/>
      </w:r>
      <w:r>
        <w:rPr>
          <w:rFonts w:ascii="Courier New" w:hAnsi="Courier New"/>
          <w:sz w:val="18"/>
        </w:rPr>
        <w:t xml:space="preserve">    # Condition 2: The Divergence Trap</w:t>
        <w:br/>
      </w:r>
      <w:r>
        <w:rPr>
          <w:rFonts w:ascii="Courier New" w:hAnsi="Courier New"/>
          <w:sz w:val="18"/>
        </w:rPr>
        <w:t xml:space="preserve">    C2 = (infra_breadth &gt; 0.55) and (ent_breadth &lt; 0.35)</w:t>
        <w:br/>
      </w:r>
      <w:r>
        <w:rPr>
          <w:rFonts w:ascii="Courier New" w:hAnsi="Courier New"/>
          <w:sz w:val="18"/>
        </w:rPr>
        <w:t xml:space="preserve">    # Condition 3: Volatility Ignition</w:t>
        <w:br/>
      </w:r>
      <w:r>
        <w:rPr>
          <w:rFonts w:ascii="Courier New" w:hAnsi="Courier New"/>
          <w:sz w:val="18"/>
        </w:rPr>
        <w:t xml:space="preserve">    C3 = vix_delta &gt; 2.0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C1 and C2 and C3:</w:t>
        <w:br/>
      </w:r>
      <w:r>
        <w:rPr>
          <w:rFonts w:ascii="Courier New" w:hAnsi="Courier New"/>
          <w:sz w:val="18"/>
        </w:rPr>
        <w:t xml:space="preserve">        return "CRITICAL_BREAK" # Action: Hard Hedge</w:t>
        <w:br/>
      </w:r>
      <w:r>
        <w:rPr>
          <w:rFonts w:ascii="Courier New" w:hAnsi="Courier New"/>
          <w:sz w:val="18"/>
        </w:rPr>
        <w:t xml:space="preserve">    elif C1 and C2:</w:t>
        <w:br/>
      </w:r>
      <w:r>
        <w:rPr>
          <w:rFonts w:ascii="Courier New" w:hAnsi="Courier New"/>
          <w:sz w:val="18"/>
        </w:rPr>
        <w:t xml:space="preserve">        return "TENSION"        # Action: No New Longs</w:t>
        <w:br/>
      </w:r>
      <w:r>
        <w:rPr>
          <w:rFonts w:ascii="Courier New" w:hAnsi="Courier New"/>
          <w:sz w:val="18"/>
        </w:rPr>
        <w:t xml:space="preserve">    else:</w:t>
        <w:br/>
      </w:r>
      <w:r>
        <w:rPr>
          <w:rFonts w:ascii="Courier New" w:hAnsi="Courier New"/>
          <w:sz w:val="18"/>
        </w:rPr>
        <w:t xml:space="preserve">        return "CLEAR"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