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20"/>
        </w:rPr>
        <w:t>NAME: AVINASH JULAKATTI</w:t>
      </w:r>
    </w:p>
    <w:p>
      <w:pPr>
        <w:spacing w:after="0"/>
      </w:pPr>
      <w:r>
        <w:rPr>
          <w:b/>
          <w:sz w:val="20"/>
        </w:rPr>
        <w:t>SRN: PES1UG24AM347</w:t>
      </w:r>
    </w:p>
    <w:p>
      <w:pPr>
        <w:spacing w:after="0"/>
      </w:pPr>
      <w:r>
        <w:rPr>
          <w:b/>
          <w:sz w:val="20"/>
        </w:rPr>
        <w:t>SECTION: F</w:t>
      </w:r>
    </w:p>
    <w:p>
      <w:pPr>
        <w:pStyle w:val="Heading1"/>
      </w:pPr>
      <w:r>
        <w:t>Lab 3 – Architectural Justification</w:t>
      </w:r>
    </w:p>
    <w:p>
      <w:r>
        <w:rPr>
          <w:b/>
        </w:rPr>
        <w:t xml:space="preserve">Architecture Selection: </w:t>
      </w:r>
      <w:r>
        <w:t>"We chose the Microservices Architecture for the SSL &amp; Domain Expiry Monitoring and Alerting System."</w:t>
      </w:r>
    </w:p>
    <w:p>
      <w:pPr>
        <w:spacing w:before="120" w:after="40"/>
      </w:pPr>
      <w:r>
        <w:rPr>
          <w:b/>
          <w:sz w:val="22"/>
        </w:rPr>
        <w:t>Architectural Choice</w:t>
      </w:r>
    </w:p>
    <w:p>
      <w:r>
        <w:t>We selected a Microservices architecture. The system is decomposed into small, independently deployable services – a Scheduler, a Monitoring Engine, an Alerting &amp; Escalation service, a Dashboard UI, an Access Control (RBAC) service and a shared Database – each owning a single capability and communicating through well-defined interfaces.</w:t>
      </w:r>
    </w:p>
    <w:p>
      <w:pPr>
        <w:spacing w:before="120" w:after="40"/>
      </w:pPr>
      <w:r>
        <w:rPr>
          <w:b/>
          <w:sz w:val="22"/>
        </w:rPr>
        <w:t>Two Reasons for the Choice</w:t>
      </w:r>
    </w:p>
    <w:p>
      <w:pPr>
        <w:pStyle w:val="ListNumber"/>
      </w:pPr>
      <w:r>
        <w:rPr>
          <w:b/>
        </w:rPr>
        <w:t xml:space="preserve">Clean capability decomposition matching the domain. </w:t>
      </w:r>
      <w:r>
        <w:t>The scenario already splits into three cohesive concerns – Domain &amp; Certificate Monitoring, Expiry Alerting &amp; Escalation, and Dashboard/Audit/Access Control (the three Epics from Lab 1/Lab 2). Each maps directly onto its own service that can be built, deployed and versioned independently, so the nightly monitoring logic can evolve without redeploying the dashboard or alerting rules.</w:t>
      </w:r>
    </w:p>
    <w:p>
      <w:pPr>
        <w:pStyle w:val="ListNumber"/>
      </w:pPr>
      <w:r>
        <w:rPr>
          <w:b/>
        </w:rPr>
        <w:t xml:space="preserve">Fault isolation for unreliable external I/O. </w:t>
      </w:r>
      <w:r>
        <w:t>The daily 00:00 UTC audit depends on external TLS handshakes and WHOIS look-ups that time out, fail, and need up to three retries. Isolating this in a separate Monitoring Engine service means a hung or crashed external call cannot bring down alert acknowledgement, escalation, or the dashboard – the rest of the system keeps serving users while one service degrades gracefully.</w:t>
      </w:r>
    </w:p>
    <w:p>
      <w:pPr>
        <w:spacing w:before="120" w:after="40"/>
      </w:pPr>
      <w:r>
        <w:rPr>
          <w:b/>
          <w:sz w:val="22"/>
        </w:rPr>
        <w:t>Security Advantage</w:t>
      </w:r>
    </w:p>
    <w:p>
      <w:r>
        <w:t>Microservices enforce least-privilege credential isolation. Only the Monitoring Engine needs outbound internet access to WHOIS/TLS endpoints, and only the Alerting service holds the SMTP/email-API credentials, while the Access Control (RBAC) service centrally authenticates SysAdmin vs. Security Officer roles behind an API gateway. A compromise of one service therefore does not expose the secrets or data of the others, and the independent audit-log service keeps a tamper-isolated record of every run.</w:t>
      </w:r>
    </w:p>
    <w:p>
      <w:pPr>
        <w:spacing w:before="120" w:after="40"/>
      </w:pPr>
      <w:r>
        <w:rPr>
          <w:b/>
          <w:sz w:val="22"/>
        </w:rPr>
        <w:t>Performance Benefit</w:t>
      </w:r>
    </w:p>
    <w:p>
      <w:r>
        <w:t>Independent horizontal scaling. During the midnight batch the Monitoring Engine can be scaled out to run TLS handshakes and WHOIS queries for many domains in parallel, dramatically shortening total audit time, while the lightweight Dashboard and Alerting services stay on minimal resources. This targeted scaling of only the bottleneck component is not possible in a single monolithic/layered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