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120"/>
        <w:jc w:val="center"/>
      </w:pPr>
      <w:r>
        <w:rPr>
          <w:rFonts w:ascii="Arial" w:cs="Arial" w:eastAsia="Arial" w:hAnsi="Arial"/>
          <w:b/>
          <w:bCs/>
          <w:color w:val="6B7280"/>
          <w:sz w:val="28"/>
          <w:szCs w:val="28"/>
        </w:rPr>
        <w:t xml:space="preserve">HETERO DRUGS LIMITED</w:t>
      </w:r>
    </w:p>
    <w:p>
      <w:pPr>
        <w:spacing w:after="200"/>
        <w:jc w:val="center"/>
      </w:pPr>
      <w:r>
        <w:rPr>
          <w:rFonts w:ascii="Arial" w:cs="Arial" w:eastAsia="Arial" w:hAnsi="Arial"/>
          <w:b/>
          <w:bCs/>
          <w:color w:val="0B2545"/>
          <w:sz w:val="44"/>
          <w:szCs w:val="44"/>
        </w:rPr>
        <w:t xml:space="preserve">MLR Review Checklist</w:t>
      </w:r>
    </w:p>
    <w:p>
      <w:pPr>
        <w:spacing w:after="100"/>
        <w:jc w:val="center"/>
      </w:pPr>
      <w:r>
        <w:rPr>
          <w:rFonts w:ascii="Arial" w:cs="Arial" w:eastAsia="Arial" w:hAnsi="Arial"/>
          <w:i/>
          <w:iCs/>
          <w:color w:val="119DA4"/>
          <w:sz w:val="24"/>
          <w:szCs w:val="24"/>
        </w:rPr>
        <w:t xml:space="preserve">Medical, Legal &amp; Regulatory Review Compliance Checklist</w:t>
      </w:r>
    </w:p>
    <w:p>
      <w:pPr>
        <w:pBdr>
          <w:bottom w:val="single" w:color="119DA4" w:sz="6" w:space="1"/>
        </w:pBdr>
        <w:spacing w:before="80"/>
        <w:jc w:val="center"/>
      </w:pPr>
    </w:p>
    <w:p>
      <w:pPr>
        <w:spacing w:before="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Field</w:t>
            </w:r>
          </w:p>
        </w:tc>
        <w:tc>
          <w:tcPr>
            <w:tcW w:type="dxa" w:w="656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Details</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Client</w:t>
            </w:r>
          </w:p>
        </w:tc>
        <w:tc>
          <w:tcPr>
            <w:tcW w:type="dxa" w:w="6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Hetero Drugs Limited</w:t>
            </w:r>
          </w:p>
        </w:tc>
      </w:tr>
      <w:tr>
        <w:tc>
          <w:tcPr>
            <w:tcW w:type="dxa" w:w="28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Version</w:t>
            </w:r>
          </w:p>
        </w:tc>
        <w:tc>
          <w:tcPr>
            <w:tcW w:type="dxa" w:w="6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1.0</w:t>
            </w:r>
          </w:p>
        </w:tc>
      </w:tr>
      <w:tr>
        <w:tc>
          <w:tcPr>
            <w:tcW w:type="dxa" w:w="28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Date</w:t>
            </w:r>
          </w:p>
        </w:tc>
        <w:tc>
          <w:tcPr>
            <w:tcW w:type="dxa" w:w="6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May 2026</w:t>
            </w:r>
          </w:p>
        </w:tc>
      </w:tr>
      <w:tr>
        <w:tc>
          <w:tcPr>
            <w:tcW w:type="dxa" w:w="28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Classification</w:t>
            </w:r>
          </w:p>
        </w:tc>
        <w:tc>
          <w:tcPr>
            <w:tcW w:type="dxa" w:w="6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Confidential — For Internal Use Only</w:t>
            </w:r>
          </w:p>
        </w:tc>
      </w:tr>
    </w:tbl>
    <w:p>
      <w:r>
        <w:br w:type="page"/>
      </w:r>
    </w:p>
    <w:p>
      <w:pPr>
        <w:pStyle w:val="Heading1"/>
      </w:pPr>
      <w:r>
        <w:t xml:space="preserve">1. Overview</w:t>
      </w:r>
    </w:p>
    <w:p>
      <w:pPr>
        <w:spacing w:after="120"/>
      </w:pPr>
      <w:r>
        <w:rPr>
          <w:rFonts w:ascii="Arial" w:cs="Arial" w:eastAsia="Arial" w:hAnsi="Arial"/>
          <w:color w:val="1B1B2F"/>
          <w:sz w:val="22"/>
          <w:szCs w:val="22"/>
        </w:rPr>
        <w:t xml:space="preserve">This document provides the complete MLR (Medical, Legal, Regulatory) review checklist for the Hetero CMS. The checklist must be completed by the respective reviewers before final MLR approval can be granted. The CMS must enforce all mandatory items and track completion status per content piece.</w:t>
      </w:r>
    </w:p>
    <w:p>
      <w:pPr>
        <w:spacing w:after="80"/>
      </w:pPr>
    </w:p>
    <w:p>
      <w:pPr>
        <w:spacing w:after="120"/>
        <w:rPr>
          <w:b/>
          <w:bCs/>
        </w:rPr>
      </w:pPr>
      <w:r>
        <w:rPr>
          <w:rFonts w:ascii="Arial" w:cs="Arial" w:eastAsia="Arial" w:hAnsi="Arial"/>
          <w:b/>
          <w:bCs/>
          <w:color w:val="1B1B2F"/>
          <w:sz w:val="22"/>
          <w:szCs w:val="22"/>
        </w:rPr>
        <w:t xml:space="preserve">How to use this checklist:</w:t>
      </w:r>
    </w:p>
    <w:p>
      <w:pPr>
        <w:pStyle w:val="ListParagraph"/>
        <w:numPr>
          <w:ilvl w:val="0"/>
          <w:numId w:val="2"/>
        </w:numPr>
        <w:spacing w:after="60"/>
      </w:pPr>
      <w:r>
        <w:rPr>
          <w:rFonts w:ascii="Arial" w:cs="Arial" w:eastAsia="Arial" w:hAnsi="Arial"/>
          <w:color w:val="1B1B2F"/>
          <w:sz w:val="22"/>
          <w:szCs w:val="22"/>
        </w:rPr>
        <w:t xml:space="preserve">Pre-submission checks (Section 2) must pass before content enters the MLR queue</w:t>
      </w:r>
    </w:p>
    <w:p>
      <w:pPr>
        <w:pStyle w:val="ListParagraph"/>
        <w:numPr>
          <w:ilvl w:val="0"/>
          <w:numId w:val="2"/>
        </w:numPr>
        <w:spacing w:after="60"/>
      </w:pPr>
      <w:r>
        <w:rPr>
          <w:rFonts w:ascii="Arial" w:cs="Arial" w:eastAsia="Arial" w:hAnsi="Arial"/>
          <w:color w:val="1B1B2F"/>
          <w:sz w:val="22"/>
          <w:szCs w:val="22"/>
        </w:rPr>
        <w:t xml:space="preserve">Medical, Legal, and Regulatory checklists (Sections 3–5) are completed by respective reviewers during their review</w:t>
      </w:r>
    </w:p>
    <w:p>
      <w:pPr>
        <w:pStyle w:val="ListParagraph"/>
        <w:numPr>
          <w:ilvl w:val="0"/>
          <w:numId w:val="2"/>
        </w:numPr>
        <w:spacing w:after="60"/>
      </w:pPr>
      <w:r>
        <w:rPr>
          <w:rFonts w:ascii="Arial" w:cs="Arial" w:eastAsia="Arial" w:hAnsi="Arial"/>
          <w:color w:val="1B1B2F"/>
          <w:sz w:val="22"/>
          <w:szCs w:val="22"/>
        </w:rPr>
        <w:t xml:space="preserve">Final approval checks (Section 6) are system-enforced before approval code generation</w:t>
      </w:r>
    </w:p>
    <w:p>
      <w:pPr>
        <w:pStyle w:val="ListParagraph"/>
        <w:numPr>
          <w:ilvl w:val="0"/>
          <w:numId w:val="2"/>
        </w:numPr>
        <w:spacing w:after="60"/>
      </w:pPr>
      <w:r>
        <w:rPr>
          <w:rFonts w:ascii="Arial" w:cs="Arial" w:eastAsia="Arial" w:hAnsi="Arial"/>
          <w:color w:val="1B1B2F"/>
          <w:sz w:val="22"/>
          <w:szCs w:val="22"/>
        </w:rPr>
        <w:t xml:space="preserve">All check items marked “Mandatory: Yes” must be verified; failures require annotation explaining the issue</w:t>
      </w:r>
    </w:p>
    <w:p>
      <w:r>
        <w:br w:type="page"/>
      </w:r>
    </w:p>
    <w:p>
      <w:pPr>
        <w:pStyle w:val="Heading1"/>
      </w:pPr>
      <w:r>
        <w:t xml:space="preserve">2. Pre-Submission Checks</w:t>
      </w:r>
    </w:p>
    <w:p>
      <w:pPr>
        <w:spacing w:after="120"/>
      </w:pPr>
      <w:r>
        <w:rPr>
          <w:rFonts w:ascii="Arial" w:cs="Arial" w:eastAsia="Arial" w:hAnsi="Arial"/>
          <w:color w:val="1B1B2F"/>
          <w:sz w:val="22"/>
          <w:szCs w:val="22"/>
        </w:rPr>
        <w:t xml:space="preserve">The Therapy Lead must verify all pre-submission criteria before the content can be submitted for MLR review. The CMS should block submission if any mandatory pre-submission check fails.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200"/>
        <w:gridCol w:w="2200"/>
        <w:gridCol w:w="1560"/>
      </w:tblGrid>
      <w:tr>
        <w:tc>
          <w:tcPr>
            <w:tcW w:type="dxa" w:w="4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2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2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156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Mandatory</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1</w:t>
            </w:r>
          </w:p>
        </w:tc>
        <w:tc>
          <w:tcPr>
            <w:tcW w:type="dxa" w:w="5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Content request approved by Regional Marketing and assigned to Therapy Lead</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System (auto-verified)</w:t>
            </w:r>
          </w:p>
        </w:tc>
        <w:tc>
          <w:tcPr>
            <w:tcW w:type="dxa" w:w="1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2</w:t>
            </w:r>
          </w:p>
        </w:tc>
        <w:tc>
          <w:tcPr>
            <w:tcW w:type="dxa" w:w="5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Communication draft reviewed and revised per Medical feedback</w:t>
            </w:r>
          </w:p>
        </w:tc>
        <w:tc>
          <w:tcPr>
            <w:tcW w:type="dxa" w:w="2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Therapy Lead</w:t>
            </w:r>
          </w:p>
        </w:tc>
        <w:tc>
          <w:tcPr>
            <w:tcW w:type="dxa" w:w="1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3</w:t>
            </w:r>
          </w:p>
        </w:tc>
        <w:tc>
          <w:tcPr>
            <w:tcW w:type="dxa" w:w="5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All claims linked to approved references in the claim library</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System (auto-check) + Therapy Lead</w:t>
            </w:r>
          </w:p>
        </w:tc>
        <w:tc>
          <w:tcPr>
            <w:tcW w:type="dxa" w:w="1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4</w:t>
            </w:r>
          </w:p>
        </w:tc>
        <w:tc>
          <w:tcPr>
            <w:tcW w:type="dxa" w:w="5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ISI (Important Safety Information) and PI/SmPC documents linked to content</w:t>
            </w:r>
          </w:p>
        </w:tc>
        <w:tc>
          <w:tcPr>
            <w:tcW w:type="dxa" w:w="2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System (auto-check)</w:t>
            </w:r>
          </w:p>
        </w:tc>
        <w:tc>
          <w:tcPr>
            <w:tcW w:type="dxa" w:w="1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5</w:t>
            </w:r>
          </w:p>
        </w:tc>
        <w:tc>
          <w:tcPr>
            <w:tcW w:type="dxa" w:w="5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Design iterations completed (max 3) and Therapy Lead has signed off on visual</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Therapy Lead</w:t>
            </w:r>
          </w:p>
        </w:tc>
        <w:tc>
          <w:tcPr>
            <w:tcW w:type="dxa" w:w="1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6</w:t>
            </w:r>
          </w:p>
        </w:tc>
        <w:tc>
          <w:tcPr>
            <w:tcW w:type="dxa" w:w="5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Final proof-reading completed by Therapy Lead</w:t>
            </w:r>
          </w:p>
        </w:tc>
        <w:tc>
          <w:tcPr>
            <w:tcW w:type="dxa" w:w="2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Therapy Lead</w:t>
            </w:r>
          </w:p>
        </w:tc>
        <w:tc>
          <w:tcPr>
            <w:tcW w:type="dxa" w:w="1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7</w:t>
            </w:r>
          </w:p>
        </w:tc>
        <w:tc>
          <w:tcPr>
            <w:tcW w:type="dxa" w:w="5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Product registration verified for all target countries</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System (auto-check) + Regulatory</w:t>
            </w:r>
          </w:p>
        </w:tc>
        <w:tc>
          <w:tcPr>
            <w:tcW w:type="dxa" w:w="1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8</w:t>
            </w:r>
          </w:p>
        </w:tc>
        <w:tc>
          <w:tcPr>
            <w:tcW w:type="dxa" w:w="5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All required metadata fields populated (therapy area, brand, audience, content type)</w:t>
            </w:r>
          </w:p>
        </w:tc>
        <w:tc>
          <w:tcPr>
            <w:tcW w:type="dxa" w:w="2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System (auto-validated)</w:t>
            </w:r>
          </w:p>
        </w:tc>
        <w:tc>
          <w:tcPr>
            <w:tcW w:type="dxa" w:w="1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9</w:t>
            </w:r>
          </w:p>
        </w:tc>
        <w:tc>
          <w:tcPr>
            <w:tcW w:type="dxa" w:w="5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All assets within usage rights and license validity period</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System (auto-check)</w:t>
            </w:r>
          </w:p>
        </w:tc>
        <w:tc>
          <w:tcPr>
            <w:tcW w:type="dxa" w:w="1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10</w:t>
            </w:r>
          </w:p>
        </w:tc>
        <w:tc>
          <w:tcPr>
            <w:tcW w:type="dxa" w:w="5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Content format matches the selected content type template requirements</w:t>
            </w:r>
          </w:p>
        </w:tc>
        <w:tc>
          <w:tcPr>
            <w:tcW w:type="dxa" w:w="2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System (auto-validated)</w:t>
            </w:r>
          </w:p>
        </w:tc>
        <w:tc>
          <w:tcPr>
            <w:tcW w:type="dxa" w:w="1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bl>
    <w:p>
      <w:r>
        <w:br w:type="page"/>
      </w:r>
    </w:p>
    <w:p>
      <w:pPr>
        <w:pStyle w:val="Heading1"/>
      </w:pPr>
      <w:r>
        <w:t xml:space="preserve">3. Medical Review Checklist</w:t>
      </w:r>
    </w:p>
    <w:p>
      <w:pPr>
        <w:spacing w:after="120"/>
      </w:pPr>
      <w:r>
        <w:rPr>
          <w:rFonts w:ascii="Arial" w:cs="Arial" w:eastAsia="Arial" w:hAnsi="Arial"/>
          <w:color w:val="1B1B2F"/>
          <w:sz w:val="22"/>
          <w:szCs w:val="22"/>
        </w:rPr>
        <w:t xml:space="preserve">The Medical Reviewer must verify each item below. All items marked “Mandatory: Yes” must pass for approval. The reviewer must annotate any failures with detailed comments before selecting “Request Revision” or “Reject.”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00"/>
        <w:gridCol w:w="2560"/>
      </w:tblGrid>
      <w:tr>
        <w:tc>
          <w:tcPr>
            <w:tcW w:type="dxa" w:w="4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4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40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256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Mandatory</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M1</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Efficacy claims accuracy</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All efficacy claims are accurate, substantiated, and supported by current approved references in the claim library</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M2</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Safety information completeness</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Safety information is complete, balanced, and consistent with the current approved labeling (PI/SmPC)</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M3</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Dosing and administration</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Dosing, administration, and preparation information matches the current prescribing information exactly</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M4</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Clinical data validity</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Clinical data citations are from valid, peer-reviewed, non-retracted, and non-expired sources with clear study identification</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M5</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Off-label claims prevention</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No off-label claims, unapproved indications, or unapproved patient populations are promoted; content is strictly within approved labeling</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M6</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Comparative claims fairness</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Comparative claims (if any) are fair, balanced, substantiated by head-to-head trial data, and do not mislead by selective data presentation</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Conditional</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M7</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Statistical data presentation</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Statistical data presented with appropriate context: confidence intervals, p-values, study population size, primary vs. secondary endpoints, and study limitations</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M8</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Visual data accuracy</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Graphs, charts, and infographics accurately represent the underlying data without visual distortion, misleading scales, truncated axes, or cherry-picked timeframes</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M9</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Terminology appropriateness</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All abbreviations, medical terminology, and scientific language are appropriate for the stated target audience (HCPs vs. patients vs. KOLs)</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M10</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Mechanism of action accuracy</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Mechanism of action descriptions (if included) are scientifically accurate and consistent with approved labeling</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Conditional</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M11</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Patient-reported outcomes</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Patient-reported outcome claims (if included) reference validated PRO instruments and are consistent with published data</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Conditional</w:t>
            </w:r>
          </w:p>
        </w:tc>
      </w:tr>
    </w:tbl>
    <w:p>
      <w:r>
        <w:br w:type="page"/>
      </w:r>
    </w:p>
    <w:p>
      <w:pPr>
        <w:pStyle w:val="Heading1"/>
      </w:pPr>
      <w:r>
        <w:t xml:space="preserve">4. Legal Review Checklist</w:t>
      </w:r>
    </w:p>
    <w:p>
      <w:pPr>
        <w:spacing w:after="120"/>
      </w:pPr>
      <w:r>
        <w:rPr>
          <w:rFonts w:ascii="Arial" w:cs="Arial" w:eastAsia="Arial" w:hAnsi="Arial"/>
          <w:color w:val="1B1B2F"/>
          <w:sz w:val="22"/>
          <w:szCs w:val="22"/>
        </w:rPr>
        <w:t xml:space="preserve">The Legal Reviewer verifies intellectual property compliance, advertising law adherence, and privacy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00"/>
        <w:gridCol w:w="2560"/>
      </w:tblGrid>
      <w:tr>
        <w:tc>
          <w:tcPr>
            <w:tcW w:type="dxa" w:w="4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4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40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256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Mandatory</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L1</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Intellectual property clearance</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No infringement on third-party intellectual property including trademarks, copyrights, patents, trade secrets, or proprietary data</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L2</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Comparative advertising compliance</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Comparative advertising claims comply with local advertising laws in all target markets; claims are verifiable and not misleading</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Conditional</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L3</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Trademark symbol usage</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Trademark symbols (®, ™) used correctly for own and third-party brands; first mention rule applied; generic names used where required</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L4</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Copyright and license verification</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Copyright notices and image credits properly attributed; all images, illustrations, and stock photos have valid licenses covering intended use and territory</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L5</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Competitor statements</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No defamatory, disparaging, misleading, or deceptive statements about competitors, their products, or their clinical data</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L6</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Patient privacy and consent</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Patient consent obtained and documented for any patient images, case studies, testimonials, or identifiable patient data; GDPR/local privacy law compliance verified</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Conditional</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L7</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Disclaimers and limitations</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All legally required disclaimer and limitation language is present, correctly positioned, and in compliant font size per target market regulations</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L8</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Data privacy compliance</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Content does not collect, display, or encourage collection of personal data without appropriate consent mechanisms and privacy notices</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bl>
    <w:p>
      <w:r>
        <w:br w:type="page"/>
      </w:r>
    </w:p>
    <w:p>
      <w:pPr>
        <w:pStyle w:val="Heading1"/>
      </w:pPr>
      <w:r>
        <w:t xml:space="preserve">5. Regulatory Review Checklist</w:t>
      </w:r>
    </w:p>
    <w:p>
      <w:pPr>
        <w:spacing w:after="120"/>
      </w:pPr>
      <w:r>
        <w:rPr>
          <w:rFonts w:ascii="Arial" w:cs="Arial" w:eastAsia="Arial" w:hAnsi="Arial"/>
          <w:color w:val="1B1B2F"/>
          <w:sz w:val="22"/>
          <w:szCs w:val="22"/>
        </w:rPr>
        <w:t xml:space="preserve">The Regulatory Reviewer ensures compliance with pharmaceutical advertising codes, mandatory disclosures, and country-specific regulatory requirements.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000"/>
        <w:gridCol w:w="2560"/>
      </w:tblGrid>
      <w:tr>
        <w:tc>
          <w:tcPr>
            <w:tcW w:type="dxa" w:w="4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4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40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Acceptance Criteria</w:t>
            </w:r>
          </w:p>
        </w:tc>
        <w:tc>
          <w:tcPr>
            <w:tcW w:type="dxa" w:w="256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Mandatory</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R1</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Advertising code compliance</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Content complies with local/regional pharmaceutical advertising codes applicable to all target markets (e.g., DCGI India, ANVISA Brazil, SFDA, MHRA, TGA)</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R2</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Mandatory disclaimers and warnings</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All mandatory statutory disclaimers and safety warnings are present, correctly worded, and properly positioned per local requirements</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R3</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Prescribing Information reference</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Full Prescribing Information (PI) or Summary of Product Characteristics (SmPC) reference is included where required by local regulations</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R4</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Adverse event reporting</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Adverse event reporting information and contact details included per local pharmacovigilance requirements</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R5</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Approved indications restriction</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Content restricted to approved indications, populations, and dosing per local product registration in each target country</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R6</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Format and layout compliance</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Format, layout, font sizes, and visual hierarchy comply with country-specific promotional material regulations</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R7</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Fair balance requirement</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Fair balance between efficacy claims and risk/safety information is maintained per local regulatory standards; risk information is not minimized or hidden</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R8</w:t>
            </w:r>
          </w:p>
        </w:tc>
        <w:tc>
          <w:tcPr>
            <w:tcW w:type="dxa" w:w="2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Product registration verification</w:t>
            </w:r>
          </w:p>
        </w:tc>
        <w:tc>
          <w:tcPr>
            <w:tcW w:type="dxa" w:w="40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Product is registered and marketing authorization is active in all target countries before content can be distributed</w:t>
            </w:r>
          </w:p>
        </w:tc>
        <w:tc>
          <w:tcPr>
            <w:tcW w:type="dxa" w:w="25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Yes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R9</w:t>
            </w:r>
          </w:p>
        </w:tc>
        <w:tc>
          <w:tcPr>
            <w:tcW w:type="dxa" w:w="2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Country-specific mandatory elements</w:t>
            </w:r>
          </w:p>
        </w:tc>
        <w:tc>
          <w:tcPr>
            <w:tcW w:type="dxa" w:w="40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Country-specific mandatory elements present (e.g., PIL reference number, MAH details, local representative contact, batch number placeholder)</w:t>
            </w:r>
          </w:p>
        </w:tc>
        <w:tc>
          <w:tcPr>
            <w:tcW w:type="dxa" w:w="25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Conditional</w:t>
            </w:r>
          </w:p>
        </w:tc>
      </w:tr>
    </w:tbl>
    <w:p>
      <w:r>
        <w:br w:type="page"/>
      </w:r>
    </w:p>
    <w:p>
      <w:pPr>
        <w:pStyle w:val="Heading1"/>
      </w:pPr>
      <w:r>
        <w:t xml:space="preserve">6. Final Approval Checks</w:t>
      </w:r>
    </w:p>
    <w:p>
      <w:pPr>
        <w:spacing w:after="120"/>
      </w:pPr>
      <w:r>
        <w:rPr>
          <w:rFonts w:ascii="Arial" w:cs="Arial" w:eastAsia="Arial" w:hAnsi="Arial"/>
          <w:color w:val="1B1B2F"/>
          <w:sz w:val="22"/>
          <w:szCs w:val="22"/>
        </w:rPr>
        <w:t xml:space="preserve">These checks are enforced by the system after all reviewers have approved. The CMS must not generate an approval code until all items are verified.</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600"/>
        <w:gridCol w:w="2200"/>
        <w:gridCol w:w="3160"/>
      </w:tblGrid>
      <w:tr>
        <w:tc>
          <w:tcPr>
            <w:tcW w:type="dxa" w:w="4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6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Check Item</w:t>
            </w:r>
          </w:p>
        </w:tc>
        <w:tc>
          <w:tcPr>
            <w:tcW w:type="dxa" w:w="220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Owner</w:t>
            </w:r>
          </w:p>
        </w:tc>
        <w:tc>
          <w:tcPr>
            <w:tcW w:type="dxa" w:w="3160"/>
            <w:tcBorders>
              <w:top w:val="single" w:color="B0C4CE" w:sz="1"/>
              <w:left w:val="single" w:color="B0C4CE" w:sz="1"/>
              <w:bottom w:val="single" w:color="B0C4CE" w:sz="1"/>
              <w:right w:val="single" w:color="B0C4CE" w:sz="1"/>
            </w:tcBorders>
            <w:shd w:fill="0B2545" w:val="clear"/>
            <w:tcMar>
              <w:top w:type="dxa" w:w="60"/>
              <w:left w:type="dxa" w:w="100"/>
              <w:bottom w:type="dxa" w:w="60"/>
              <w:right w:type="dxa" w:w="100"/>
            </w:tcMar>
            <w:vAlign w:val="center"/>
          </w:tcPr>
          <w:p>
            <w:r>
              <w:rPr>
                <w:rFonts w:ascii="Arial" w:cs="Arial" w:eastAsia="Arial" w:hAnsi="Arial"/>
                <w:b/>
                <w:bCs/>
                <w:color w:val="FFFFFF"/>
                <w:sz w:val="20"/>
                <w:szCs w:val="20"/>
              </w:rPr>
              <w:t xml:space="preserve">Verification Method</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F1</w:t>
            </w:r>
          </w:p>
        </w:tc>
        <w:tc>
          <w:tcPr>
            <w:tcW w:type="dxa" w:w="3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All reviewer annotations resolved — no open or unresolved comments remaining on the content</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All Reviewers (system-enforced)</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System counts open annotations; blocks approval if count &gt; 0</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F2</w:t>
            </w:r>
          </w:p>
        </w:tc>
        <w:tc>
          <w:tcPr>
            <w:tcW w:type="dxa" w:w="36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Electronic signature captured from each approving reviewer: user ID + password re-entry + signature meaning</w:t>
            </w:r>
          </w:p>
        </w:tc>
        <w:tc>
          <w:tcPr>
            <w:tcW w:type="dxa" w:w="2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Each Approving Reviewer</w:t>
            </w:r>
          </w:p>
        </w:tc>
        <w:tc>
          <w:tcPr>
            <w:tcW w:type="dxa" w:w="31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E-signature modal; captures timestamp, hash, meaning (Authored/Reviewed/Approved)</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F3</w:t>
            </w:r>
          </w:p>
        </w:tc>
        <w:tc>
          <w:tcPr>
            <w:tcW w:type="dxa" w:w="3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Signature manifestation recorded: printed name, date/time (UTC), meaning, role</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System (automatic)</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Immutable audit record created; cryptographically linked to content version</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F4</w:t>
            </w:r>
          </w:p>
        </w:tc>
        <w:tc>
          <w:tcPr>
            <w:tcW w:type="dxa" w:w="36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Approval code auto-generated and stamped on content metadata</w:t>
            </w:r>
          </w:p>
        </w:tc>
        <w:tc>
          <w:tcPr>
            <w:tcW w:type="dxa" w:w="2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System (automatic)</w:t>
            </w:r>
          </w:p>
        </w:tc>
        <w:tc>
          <w:tcPr>
            <w:tcW w:type="dxa" w:w="31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Sequential code: MLR-[THERAPY]-[YYYY]-[NNNN]; stamped in metadata and visible in all views</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F5</w:t>
            </w:r>
          </w:p>
        </w:tc>
        <w:tc>
          <w:tcPr>
            <w:tcW w:type="dxa" w:w="3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Approved content version locked — no further edits possible without new MLR cycle</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System (automatic)</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Version lock flag set; any edit creates new version with “Pending Re-Review” status</w:t>
            </w:r>
          </w:p>
        </w:tc>
      </w:tr>
      <w:tr>
        <w:tc>
          <w:tcPr>
            <w:tcW w:type="dxa" w:w="4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F6</w:t>
            </w:r>
          </w:p>
        </w:tc>
        <w:tc>
          <w:tcPr>
            <w:tcW w:type="dxa" w:w="36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Content expiry timer set per configuration</w:t>
            </w:r>
          </w:p>
        </w:tc>
        <w:tc>
          <w:tcPr>
            <w:tcW w:type="dxa" w:w="220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System (automatic)</w:t>
            </w:r>
          </w:p>
        </w:tc>
        <w:tc>
          <w:tcPr>
            <w:tcW w:type="dxa" w:w="3160"/>
            <w:tcBorders>
              <w:top w:val="single" w:color="B0C4CE" w:sz="1"/>
              <w:left w:val="single" w:color="B0C4CE" w:sz="1"/>
              <w:bottom w:val="single" w:color="B0C4CE" w:sz="1"/>
              <w:right w:val="single" w:color="B0C4CE" w:sz="1"/>
            </w:tcBorders>
            <w:shd w:fill="F3F8FA" w:val="clear"/>
            <w:tcMar>
              <w:top w:type="dxa" w:w="60"/>
              <w:left w:type="dxa" w:w="100"/>
              <w:bottom w:type="dxa" w:w="60"/>
              <w:right w:type="dxa" w:w="100"/>
            </w:tcMar>
            <w:vAlign w:val="center"/>
          </w:tcPr>
          <w:p>
            <w:r>
              <w:rPr>
                <w:rFonts w:ascii="Arial" w:cs="Arial" w:eastAsia="Arial" w:hAnsi="Arial"/>
                <w:color w:val="1B1B2F"/>
                <w:sz w:val="20"/>
                <w:szCs w:val="20"/>
              </w:rPr>
              <w:t xml:space="preserve">Default: 24 months from approval; configurable per content type; alerts at 90/60/30 days before expiry</w:t>
            </w:r>
          </w:p>
        </w:tc>
      </w:tr>
      <w:tr>
        <w:tc>
          <w:tcPr>
            <w:tcW w:type="dxa" w:w="4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F7</w:t>
            </w:r>
          </w:p>
        </w:tc>
        <w:tc>
          <w:tcPr>
            <w:tcW w:type="dxa" w:w="36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All stakeholders notified of approval</w:t>
            </w:r>
          </w:p>
        </w:tc>
        <w:tc>
          <w:tcPr>
            <w:tcW w:type="dxa" w:w="220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System (automatic)</w:t>
            </w:r>
          </w:p>
        </w:tc>
        <w:tc>
          <w:tcPr>
            <w:tcW w:type="dxa" w:w="3160"/>
            <w:tcBorders>
              <w:top w:val="single" w:color="B0C4CE" w:sz="1"/>
              <w:left w:val="single" w:color="B0C4CE" w:sz="1"/>
              <w:bottom w:val="single" w:color="B0C4CE" w:sz="1"/>
              <w:right w:val="single" w:color="B0C4CE" w:sz="1"/>
            </w:tcBorders>
            <w:tcMar>
              <w:top w:type="dxa" w:w="60"/>
              <w:left w:type="dxa" w:w="100"/>
              <w:bottom w:type="dxa" w:w="60"/>
              <w:right w:type="dxa" w:w="100"/>
            </w:tcMar>
            <w:vAlign w:val="center"/>
          </w:tcPr>
          <w:p>
            <w:r>
              <w:rPr>
                <w:rFonts w:ascii="Arial" w:cs="Arial" w:eastAsia="Arial" w:hAnsi="Arial"/>
                <w:color w:val="1B1B2F"/>
                <w:sz w:val="20"/>
                <w:szCs w:val="20"/>
              </w:rPr>
              <w:t xml:space="preserve">Email + in-app notification to: Therapy Lead, Designer, Country SPOC, Regional Marketing, GMT Head</w:t>
            </w:r>
          </w:p>
        </w:tc>
      </w:tr>
    </w:tbl>
    <w:p>
      <w:pPr>
        <w:spacing w:after="80"/>
      </w:pPr>
    </w:p>
    <w:p>
      <w:pPr>
        <w:spacing w:after="120"/>
        <w:rPr>
          <w:b/>
          <w:bCs/>
        </w:rPr>
      </w:pPr>
      <w:r>
        <w:rPr>
          <w:rFonts w:ascii="Arial" w:cs="Arial" w:eastAsia="Arial" w:hAnsi="Arial"/>
          <w:b/>
          <w:bCs/>
          <w:color w:val="1B1B2F"/>
          <w:sz w:val="22"/>
          <w:szCs w:val="22"/>
        </w:rPr>
        <w:t xml:space="preserve">SLA Indicators Applied Throughout:</w:t>
      </w:r>
    </w:p>
    <w:p>
      <w:pPr>
        <w:pStyle w:val="ListParagraph"/>
        <w:numPr>
          <w:ilvl w:val="0"/>
          <w:numId w:val="2"/>
        </w:numPr>
        <w:spacing w:after="60"/>
      </w:pPr>
      <w:r>
        <w:rPr>
          <w:rFonts w:ascii="Arial" w:cs="Arial" w:eastAsia="Arial" w:hAnsi="Arial"/>
          <w:color w:val="1B1B2F"/>
          <w:sz w:val="22"/>
          <w:szCs w:val="22"/>
        </w:rPr>
        <w:t xml:space="preserve">Green: ≤50% of configured SLA elapsed</w:t>
      </w:r>
    </w:p>
    <w:p>
      <w:pPr>
        <w:pStyle w:val="ListParagraph"/>
        <w:numPr>
          <w:ilvl w:val="0"/>
          <w:numId w:val="2"/>
        </w:numPr>
        <w:spacing w:after="60"/>
      </w:pPr>
      <w:r>
        <w:rPr>
          <w:rFonts w:ascii="Arial" w:cs="Arial" w:eastAsia="Arial" w:hAnsi="Arial"/>
          <w:color w:val="1B1B2F"/>
          <w:sz w:val="22"/>
          <w:szCs w:val="22"/>
        </w:rPr>
        <w:t xml:space="preserve">Amber: 50–80% of SLA elapsed</w:t>
      </w:r>
    </w:p>
    <w:p>
      <w:pPr>
        <w:pStyle w:val="ListParagraph"/>
        <w:numPr>
          <w:ilvl w:val="0"/>
          <w:numId w:val="2"/>
        </w:numPr>
        <w:spacing w:after="60"/>
      </w:pPr>
      <w:r>
        <w:rPr>
          <w:rFonts w:ascii="Arial" w:cs="Arial" w:eastAsia="Arial" w:hAnsi="Arial"/>
          <w:color w:val="1B1B2F"/>
          <w:sz w:val="22"/>
          <w:szCs w:val="22"/>
        </w:rPr>
        <w:t xml:space="preserve">Red: &gt;80% of SLA elapsed</w:t>
      </w:r>
    </w:p>
    <w:p>
      <w:pPr>
        <w:pStyle w:val="ListParagraph"/>
        <w:numPr>
          <w:ilvl w:val="0"/>
          <w:numId w:val="2"/>
        </w:numPr>
        <w:spacing w:after="60"/>
      </w:pPr>
      <w:r>
        <w:rPr>
          <w:rFonts w:ascii="Arial" w:cs="Arial" w:eastAsia="Arial" w:hAnsi="Arial"/>
          <w:color w:val="1B1B2F"/>
          <w:sz w:val="22"/>
          <w:szCs w:val="22"/>
        </w:rPr>
        <w:t xml:space="preserve">Breached: &gt;100% — auto-escalation triggered to next level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19DA4" w:sz="2" w:space="4"/>
      </w:pBdr>
      <w:tabs>
        <w:tab w:val="right" w:pos="9026"/>
      </w:tabs>
    </w:pPr>
    <w:r>
      <w:rPr>
        <w:rFonts w:ascii="Arial" w:cs="Arial" w:eastAsia="Arial" w:hAnsi="Arial"/>
        <w:color w:val="6B7280"/>
        <w:sz w:val="16"/>
        <w:szCs w:val="16"/>
      </w:rPr>
      <w:t xml:space="preserve">MLR Review Checklist v1.0 — May 2026</w:t>
    </w:r>
    <w:r>
      <w:rPr>
        <w:rFonts w:ascii="Arial" w:cs="Arial" w:eastAsia="Arial" w:hAnsi="Arial"/>
        <w:color w:val="6B7280"/>
        <w:sz w:val="16"/>
        <w:szCs w:val="16"/>
      </w:rPr>
      <w:t xml:space="preserve">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19DA4" w:sz="2" w:space="4"/>
      </w:pBdr>
      <w:tabs>
        <w:tab w:val="right" w:pos="9026"/>
      </w:tabs>
    </w:pPr>
    <w:r>
      <w:rPr>
        <w:rFonts w:ascii="Arial" w:cs="Arial" w:eastAsia="Arial" w:hAnsi="Arial"/>
        <w:color w:val="6B7280"/>
        <w:sz w:val="16"/>
        <w:szCs w:val="16"/>
      </w:rPr>
      <w:t xml:space="preserve">Hetero Drugs — MLR Review Checklist</w:t>
    </w:r>
    <w:r>
      <w:rPr>
        <w:rFonts w:ascii="Arial" w:cs="Arial" w:eastAsia="Arial" w:hAnsi="Arial"/>
        <w:color w:val="6B7280"/>
        <w:sz w:val="16"/>
        <w:szCs w:val="16"/>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19DA4" w:sz="4" w:space="4"/>
      </w:pBdr>
      <w:spacing w:after="200" w:before="360"/>
      <w:outlineLvl w:val="0"/>
    </w:pPr>
    <w:rPr>
      <w:rFonts w:ascii="Arial" w:cs="Arial" w:eastAsia="Arial" w:hAnsi="Arial"/>
      <w:b/>
      <w:bCs/>
      <w:color w:val="0B2545"/>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0C7C82"/>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19DA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2026-05-06T04:33:57.528Z</dcterms:created>
  <dcterms:modified xsi:type="dcterms:W3CDTF">2026-05-06T04:33:57.529Z</dcterms:modified>
</cp:coreProperties>
</file>

<file path=docProps/custom.xml><?xml version="1.0" encoding="utf-8"?>
<Properties xmlns="http://schemas.openxmlformats.org/officeDocument/2006/custom-properties" xmlns:vt="http://schemas.openxmlformats.org/officeDocument/2006/docPropsVTypes"/>
</file>